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A8849" w14:textId="77777777" w:rsidR="009F30D1" w:rsidRPr="00B151C0" w:rsidRDefault="009F30D1" w:rsidP="009F30D1">
      <w:pPr>
        <w:pStyle w:val="Ttulo1"/>
        <w:spacing w:before="0" w:after="0"/>
        <w:rPr>
          <w:rFonts w:cs="Arial"/>
          <w:sz w:val="16"/>
          <w:szCs w:val="16"/>
        </w:rPr>
      </w:pPr>
      <w:bookmarkStart w:id="0" w:name="_Toc3399969"/>
      <w:r w:rsidRPr="00B151C0">
        <w:rPr>
          <w:rFonts w:cs="Arial"/>
          <w:sz w:val="16"/>
          <w:szCs w:val="16"/>
        </w:rPr>
        <w:t>ANEXO 3. CÁLCULO DE LA EXPOSICIÓN CREDITICIA DE OPERACIONES CON INSTRUMENTOS FINANCIEROS DERIVADOS Y CON PRODUCTOS ESTRUCTURADOS</w:t>
      </w:r>
      <w:bookmarkEnd w:id="0"/>
    </w:p>
    <w:p w14:paraId="4DFB5B0B" w14:textId="77777777" w:rsidR="009F30D1" w:rsidRPr="00B151C0" w:rsidRDefault="009F30D1" w:rsidP="009F30D1">
      <w:pPr>
        <w:pStyle w:val="Ttulo1"/>
        <w:tabs>
          <w:tab w:val="left" w:pos="567"/>
          <w:tab w:val="left" w:pos="851"/>
        </w:tabs>
        <w:spacing w:before="0" w:after="0"/>
        <w:rPr>
          <w:rFonts w:cs="Arial"/>
          <w:b w:val="0"/>
          <w:sz w:val="16"/>
          <w:szCs w:val="16"/>
          <w:lang w:eastAsia="es-ES"/>
        </w:rPr>
      </w:pPr>
    </w:p>
    <w:p w14:paraId="3EE09F05" w14:textId="77777777" w:rsidR="009F30D1" w:rsidRPr="00B151C0" w:rsidRDefault="009F30D1" w:rsidP="009F30D1">
      <w:pPr>
        <w:rPr>
          <w:rFonts w:cs="Arial"/>
          <w:sz w:val="16"/>
          <w:szCs w:val="16"/>
          <w:lang w:eastAsia="es-ES"/>
        </w:rPr>
      </w:pPr>
      <w:bookmarkStart w:id="1" w:name="_Toc418000545"/>
      <w:r w:rsidRPr="00B151C0">
        <w:rPr>
          <w:rFonts w:cs="Arial"/>
          <w:sz w:val="16"/>
          <w:szCs w:val="16"/>
          <w:lang w:eastAsia="es-ES"/>
        </w:rPr>
        <w:t xml:space="preserve">Para efectos del cómputo </w:t>
      </w:r>
      <w:r w:rsidRPr="00B151C0">
        <w:rPr>
          <w:rFonts w:cs="Arial"/>
          <w:sz w:val="16"/>
          <w:szCs w:val="16"/>
        </w:rPr>
        <w:t xml:space="preserve">de los cupos individuales y consolidados de crédito, de los niveles de concentración de riesgos y de la relación de solvencia, las operaciones con instrumentos financieros derivados y con productos estructurados deben computar por su exposición crediticia, </w:t>
      </w:r>
      <w:r w:rsidRPr="00B151C0">
        <w:rPr>
          <w:rFonts w:cs="Arial"/>
          <w:sz w:val="16"/>
          <w:szCs w:val="16"/>
          <w:lang w:eastAsia="es-ES"/>
        </w:rPr>
        <w:t>siguiendo las reglas establecidas en el presente Anexo.</w:t>
      </w:r>
      <w:bookmarkEnd w:id="1"/>
    </w:p>
    <w:p w14:paraId="4A415D7B" w14:textId="77777777" w:rsidR="009F30D1" w:rsidRPr="00B151C0" w:rsidRDefault="009F30D1" w:rsidP="009F30D1">
      <w:pPr>
        <w:rPr>
          <w:rFonts w:cs="Arial"/>
          <w:sz w:val="16"/>
          <w:szCs w:val="16"/>
          <w:lang w:eastAsia="es-ES"/>
        </w:rPr>
      </w:pPr>
    </w:p>
    <w:p w14:paraId="48AC0948" w14:textId="77777777" w:rsidR="009F30D1" w:rsidRPr="00BD55F8" w:rsidRDefault="009F30D1" w:rsidP="00BD55F8">
      <w:pPr>
        <w:rPr>
          <w:rFonts w:cs="Arial"/>
          <w:sz w:val="16"/>
          <w:szCs w:val="16"/>
        </w:rPr>
      </w:pPr>
      <w:r w:rsidRPr="00BD55F8">
        <w:rPr>
          <w:rFonts w:cs="Arial"/>
          <w:sz w:val="16"/>
          <w:szCs w:val="16"/>
          <w:lang w:eastAsia="es-ES"/>
        </w:rPr>
        <w:t xml:space="preserve">La exposición crediticia de las entidades vigiladas, por concepto de las operaciones en las que la contraparte sea el Banco de la República, o aquellas en las que una </w:t>
      </w:r>
      <w:r w:rsidRPr="00BD55F8">
        <w:rPr>
          <w:rFonts w:cs="Arial"/>
          <w:sz w:val="16"/>
          <w:szCs w:val="16"/>
        </w:rPr>
        <w:t>CRCC</w:t>
      </w:r>
      <w:r w:rsidRPr="00BD55F8">
        <w:rPr>
          <w:rFonts w:cs="Arial"/>
          <w:sz w:val="16"/>
          <w:szCs w:val="16"/>
          <w:lang w:eastAsia="es-ES"/>
        </w:rPr>
        <w:t xml:space="preserve"> haya aceptado interponerse como contraparte de entidades vigiladas en operaciones con instrumentos financieros derivados, incluso cuando las mismas hayan sido negociadas inicialmente en el OTC o no sean estandarizadas, es igual a cero (0) para efectos de los cómputos antes mencionados</w:t>
      </w:r>
      <w:r w:rsidRPr="00BD55F8">
        <w:rPr>
          <w:rFonts w:cs="Arial"/>
          <w:sz w:val="16"/>
          <w:szCs w:val="16"/>
        </w:rPr>
        <w:t>.</w:t>
      </w:r>
    </w:p>
    <w:p w14:paraId="0AECE195" w14:textId="77777777" w:rsidR="009F30D1" w:rsidRPr="00BD55F8" w:rsidRDefault="009F30D1" w:rsidP="00BD55F8">
      <w:pPr>
        <w:rPr>
          <w:rFonts w:cs="Arial"/>
          <w:sz w:val="16"/>
          <w:szCs w:val="16"/>
        </w:rPr>
      </w:pPr>
    </w:p>
    <w:p w14:paraId="3C96BD1D" w14:textId="6F6B1646" w:rsidR="009F30D1" w:rsidRPr="00BD55F8" w:rsidRDefault="009F30D1" w:rsidP="00F817A7">
      <w:pPr>
        <w:pBdr>
          <w:left w:val="single" w:sz="4" w:space="4" w:color="auto"/>
        </w:pBdr>
        <w:rPr>
          <w:rFonts w:cs="Arial"/>
          <w:color w:val="000000"/>
          <w:sz w:val="16"/>
          <w:szCs w:val="16"/>
          <w:lang w:val="es-ES" w:eastAsia="es-ES"/>
        </w:rPr>
      </w:pPr>
      <w:r w:rsidRPr="00BD55F8">
        <w:rPr>
          <w:rFonts w:cs="Arial"/>
          <w:color w:val="000000"/>
          <w:sz w:val="16"/>
          <w:szCs w:val="16"/>
          <w:lang w:val="es-ES" w:eastAsia="es-ES"/>
        </w:rPr>
        <w:t>Para efectos de lo dispuesto en el presente Anexo,</w:t>
      </w:r>
      <w:r w:rsidR="005B2767">
        <w:rPr>
          <w:rFonts w:cs="Arial"/>
          <w:color w:val="000000"/>
          <w:sz w:val="16"/>
          <w:szCs w:val="16"/>
          <w:lang w:val="es-ES" w:eastAsia="es-ES"/>
        </w:rPr>
        <w:t xml:space="preserve"> no se incluye dentro</w:t>
      </w:r>
      <w:r w:rsidRPr="00BD55F8">
        <w:rPr>
          <w:rFonts w:cs="Arial"/>
          <w:color w:val="000000"/>
          <w:sz w:val="16"/>
          <w:szCs w:val="16"/>
          <w:lang w:val="es-ES" w:eastAsia="es-ES"/>
        </w:rPr>
        <w:t xml:space="preserve"> del cálculo de la EC la venta de opciones (‘</w:t>
      </w:r>
      <w:proofErr w:type="spellStart"/>
      <w:r w:rsidRPr="00BD55F8">
        <w:rPr>
          <w:rFonts w:cs="Arial"/>
          <w:color w:val="000000"/>
          <w:sz w:val="16"/>
          <w:szCs w:val="16"/>
          <w:lang w:val="es-CO" w:eastAsia="es-ES"/>
        </w:rPr>
        <w:t>call</w:t>
      </w:r>
      <w:proofErr w:type="spellEnd"/>
      <w:r w:rsidRPr="00BD55F8">
        <w:rPr>
          <w:rFonts w:cs="Arial"/>
          <w:color w:val="000000"/>
          <w:sz w:val="16"/>
          <w:szCs w:val="16"/>
          <w:lang w:val="es-ES" w:eastAsia="es-ES"/>
        </w:rPr>
        <w:t>’ o ‘</w:t>
      </w:r>
      <w:proofErr w:type="spellStart"/>
      <w:r w:rsidRPr="00BD55F8">
        <w:rPr>
          <w:rFonts w:cs="Arial"/>
          <w:color w:val="000000"/>
          <w:sz w:val="16"/>
          <w:szCs w:val="16"/>
          <w:lang w:val="es-CO" w:eastAsia="es-ES"/>
        </w:rPr>
        <w:t>put</w:t>
      </w:r>
      <w:proofErr w:type="spellEnd"/>
      <w:r w:rsidRPr="00BD55F8">
        <w:rPr>
          <w:rFonts w:cs="Arial"/>
          <w:color w:val="000000"/>
          <w:sz w:val="16"/>
          <w:szCs w:val="16"/>
          <w:lang w:val="es-ES" w:eastAsia="es-ES"/>
        </w:rPr>
        <w:t>’)</w:t>
      </w:r>
      <w:r w:rsidR="005B2767">
        <w:rPr>
          <w:rFonts w:cs="Arial"/>
          <w:color w:val="000000"/>
          <w:sz w:val="16"/>
          <w:szCs w:val="16"/>
          <w:lang w:val="es-ES" w:eastAsia="es-ES"/>
        </w:rPr>
        <w:t>,</w:t>
      </w:r>
      <w:r w:rsidRPr="00BD55F8">
        <w:rPr>
          <w:rFonts w:cs="Arial"/>
          <w:color w:val="000000"/>
          <w:sz w:val="16"/>
          <w:szCs w:val="16"/>
          <w:lang w:val="es-ES" w:eastAsia="es-ES"/>
        </w:rPr>
        <w:t xml:space="preserve"> </w:t>
      </w:r>
      <w:r w:rsidR="00CC2404" w:rsidRPr="00F817A7">
        <w:rPr>
          <w:rFonts w:cs="Arial"/>
          <w:b/>
          <w:bCs/>
          <w:color w:val="000000"/>
          <w:sz w:val="16"/>
          <w:szCs w:val="16"/>
          <w:lang w:val="es-ES" w:eastAsia="es-ES"/>
        </w:rPr>
        <w:t xml:space="preserve">excepto aquellas que hagan parte </w:t>
      </w:r>
      <w:r w:rsidRPr="00F817A7">
        <w:rPr>
          <w:rFonts w:cs="Arial"/>
          <w:b/>
          <w:bCs/>
          <w:color w:val="000000"/>
          <w:sz w:val="16"/>
          <w:szCs w:val="16"/>
          <w:lang w:val="es-ES" w:eastAsia="es-ES"/>
        </w:rPr>
        <w:t>de una estrategia con instrumentos financieros derivados</w:t>
      </w:r>
      <w:r w:rsidR="00CC2404" w:rsidRPr="00F817A7">
        <w:rPr>
          <w:rFonts w:cs="Arial"/>
          <w:b/>
          <w:bCs/>
          <w:color w:val="000000"/>
          <w:sz w:val="16"/>
          <w:szCs w:val="16"/>
          <w:lang w:val="es-ES" w:eastAsia="es-ES"/>
        </w:rPr>
        <w:t xml:space="preserve"> o de un acuerdo de neteo </w:t>
      </w:r>
      <w:r w:rsidRPr="00F817A7">
        <w:rPr>
          <w:rFonts w:cs="Arial"/>
          <w:b/>
          <w:bCs/>
          <w:color w:val="000000"/>
          <w:sz w:val="16"/>
          <w:szCs w:val="16"/>
          <w:lang w:val="es-ES" w:eastAsia="es-ES"/>
        </w:rPr>
        <w:t>con la misma contraparte.</w:t>
      </w:r>
    </w:p>
    <w:p w14:paraId="7DE1CCE9" w14:textId="77777777" w:rsidR="009F30D1" w:rsidRPr="00BD55F8" w:rsidRDefault="009F30D1" w:rsidP="00BD55F8">
      <w:pPr>
        <w:rPr>
          <w:rFonts w:cs="Arial"/>
          <w:color w:val="000000"/>
          <w:sz w:val="16"/>
          <w:szCs w:val="16"/>
          <w:lang w:val="es-ES" w:eastAsia="es-ES"/>
        </w:rPr>
      </w:pPr>
    </w:p>
    <w:p w14:paraId="54A9D66D" w14:textId="7F543EAF" w:rsidR="009F30D1" w:rsidRPr="00E45B0D" w:rsidRDefault="009F30D1" w:rsidP="00E45B0D">
      <w:pPr>
        <w:tabs>
          <w:tab w:val="left" w:pos="851"/>
          <w:tab w:val="left" w:pos="1701"/>
        </w:tabs>
        <w:rPr>
          <w:rFonts w:cs="Arial"/>
          <w:sz w:val="16"/>
          <w:szCs w:val="16"/>
          <w:lang w:eastAsia="es-ES"/>
        </w:rPr>
      </w:pPr>
      <w:r w:rsidRPr="00BD55F8">
        <w:rPr>
          <w:rFonts w:cs="Arial"/>
          <w:sz w:val="16"/>
          <w:szCs w:val="16"/>
          <w:lang w:eastAsia="es-ES"/>
        </w:rPr>
        <w:t>La entidad debe tener a disposición de la SFC toda la documentación relacionada con los acuerdos de compensación, acuerdos de intercambio de garantías y/u otros mecanismos de mitigación, el libro de operaciones con instrumentos financieros derivados por contraparte, y en general cualquier documento necesario para verificar el correcto cálculo de las exposiciones crediticias.</w:t>
      </w:r>
    </w:p>
    <w:p w14:paraId="1293ED37" w14:textId="77777777" w:rsidR="009F30D1" w:rsidRPr="00B151C0" w:rsidRDefault="009F30D1" w:rsidP="009F30D1">
      <w:pPr>
        <w:rPr>
          <w:rFonts w:cs="Arial"/>
          <w:sz w:val="16"/>
          <w:szCs w:val="16"/>
          <w:lang w:val="es-ES" w:eastAsia="es-ES"/>
        </w:rPr>
      </w:pPr>
    </w:p>
    <w:p w14:paraId="500013BF" w14:textId="77777777" w:rsidR="009F30D1" w:rsidRPr="00B151C0" w:rsidRDefault="009F30D1" w:rsidP="009F30D1">
      <w:pPr>
        <w:pStyle w:val="Ttulo1"/>
        <w:spacing w:before="0" w:after="0"/>
        <w:rPr>
          <w:rFonts w:cs="Arial"/>
          <w:sz w:val="16"/>
          <w:szCs w:val="16"/>
        </w:rPr>
      </w:pPr>
      <w:bookmarkStart w:id="2" w:name="_Toc3399970"/>
      <w:r w:rsidRPr="00B151C0">
        <w:rPr>
          <w:rFonts w:cs="Arial"/>
          <w:sz w:val="16"/>
          <w:szCs w:val="16"/>
        </w:rPr>
        <w:t>1. EXPOSICIÓN CREDITICIA DE UN INSTRUMENTO FINANCIERO DERIVADO</w:t>
      </w:r>
      <w:bookmarkEnd w:id="2"/>
    </w:p>
    <w:p w14:paraId="2E026C24" w14:textId="77777777" w:rsidR="009F30D1" w:rsidRPr="00B151C0" w:rsidRDefault="009F30D1" w:rsidP="009F30D1">
      <w:pPr>
        <w:tabs>
          <w:tab w:val="left" w:pos="1701"/>
        </w:tabs>
        <w:rPr>
          <w:rFonts w:cs="Arial"/>
          <w:b/>
          <w:sz w:val="16"/>
          <w:szCs w:val="16"/>
        </w:rPr>
      </w:pPr>
    </w:p>
    <w:p w14:paraId="2DFB6E2E" w14:textId="77777777" w:rsidR="009F30D1" w:rsidRPr="00CF7B19" w:rsidRDefault="009F30D1" w:rsidP="00CF7B19">
      <w:pPr>
        <w:tabs>
          <w:tab w:val="left" w:pos="1701"/>
        </w:tabs>
        <w:rPr>
          <w:rFonts w:cs="Arial"/>
          <w:sz w:val="16"/>
          <w:szCs w:val="16"/>
        </w:rPr>
      </w:pPr>
      <w:r w:rsidRPr="00CF7B19">
        <w:rPr>
          <w:rFonts w:cs="Arial"/>
          <w:sz w:val="16"/>
          <w:szCs w:val="16"/>
        </w:rPr>
        <w:t xml:space="preserve">La exposición crediticia (EC) mide la máxima pérdida potencial por un instrumento financiero derivado en caso de incumplimiento de la contraparte, incorporando para el efecto en su cálculo las garantías y/o demás mitigantes de riesgo de crédito, si cuenta con ellos. Corresponde a la suma ponderada del costo de reposición y la exposición potencial futura. </w:t>
      </w:r>
    </w:p>
    <w:p w14:paraId="21BEB108" w14:textId="77777777" w:rsidR="009F30D1" w:rsidRPr="00CF7B19" w:rsidRDefault="009F30D1" w:rsidP="00CF7B19">
      <w:pPr>
        <w:tabs>
          <w:tab w:val="left" w:pos="1701"/>
        </w:tabs>
        <w:rPr>
          <w:rFonts w:cs="Arial"/>
          <w:sz w:val="16"/>
          <w:szCs w:val="16"/>
        </w:rPr>
      </w:pPr>
    </w:p>
    <w:p w14:paraId="2B9A3CF9" w14:textId="77777777" w:rsidR="009F30D1" w:rsidRPr="00CF7B19" w:rsidRDefault="009F30D1" w:rsidP="00CF7B19">
      <w:pPr>
        <w:tabs>
          <w:tab w:val="left" w:pos="1701"/>
        </w:tabs>
        <w:rPr>
          <w:rFonts w:cs="Arial"/>
          <w:sz w:val="16"/>
          <w:szCs w:val="16"/>
          <w:lang w:eastAsia="es-ES"/>
        </w:rPr>
      </w:pPr>
      <w:r w:rsidRPr="00CF7B19">
        <w:rPr>
          <w:rFonts w:cs="Arial"/>
          <w:sz w:val="16"/>
          <w:szCs w:val="16"/>
        </w:rPr>
        <w:t xml:space="preserve">La exposición crediticia de la entidad vigilada será aquella que resulte menor entre: i) el resultado de aplicar las fórmulas contenidas en los subnumerales 1.1 y/o 1.2, según las características de las operaciones cubiertas por acuerdos de intercambio de garantías y </w:t>
      </w:r>
      <w:proofErr w:type="spellStart"/>
      <w:r w:rsidRPr="00CF7B19">
        <w:rPr>
          <w:rFonts w:cs="Arial"/>
          <w:sz w:val="16"/>
          <w:szCs w:val="16"/>
        </w:rPr>
        <w:t>ii</w:t>
      </w:r>
      <w:proofErr w:type="spellEnd"/>
      <w:r w:rsidRPr="00CF7B19">
        <w:rPr>
          <w:rFonts w:cs="Arial"/>
          <w:sz w:val="16"/>
          <w:szCs w:val="16"/>
        </w:rPr>
        <w:t xml:space="preserve">) el resultado del cálculo según los parámetros establecidos en el subnumeral 1.5 para el cálculo de la exposición </w:t>
      </w:r>
      <w:r w:rsidRPr="00CF7B19">
        <w:rPr>
          <w:rFonts w:cs="Arial"/>
          <w:sz w:val="16"/>
          <w:szCs w:val="16"/>
          <w:lang w:eastAsia="es-ES"/>
        </w:rPr>
        <w:t>crediticia sin tener en cuenta los anexos de intercambio de garantías u otros mitigantes de crédito.</w:t>
      </w:r>
    </w:p>
    <w:p w14:paraId="5721F7B8" w14:textId="77777777" w:rsidR="009F30D1" w:rsidRDefault="009F30D1" w:rsidP="00CF7B19">
      <w:pPr>
        <w:tabs>
          <w:tab w:val="left" w:pos="1701"/>
        </w:tabs>
        <w:rPr>
          <w:rFonts w:cs="Arial"/>
          <w:sz w:val="16"/>
          <w:szCs w:val="16"/>
        </w:rPr>
      </w:pPr>
    </w:p>
    <w:p w14:paraId="4042E678" w14:textId="5342B7BF" w:rsidR="009F30D1" w:rsidRDefault="009F30D1" w:rsidP="009F30D1">
      <w:pPr>
        <w:tabs>
          <w:tab w:val="left" w:pos="1701"/>
        </w:tabs>
        <w:rPr>
          <w:rFonts w:cs="Arial"/>
          <w:sz w:val="16"/>
          <w:szCs w:val="16"/>
        </w:rPr>
      </w:pPr>
      <w:r>
        <w:rPr>
          <w:rFonts w:cs="Arial"/>
          <w:sz w:val="16"/>
          <w:szCs w:val="16"/>
        </w:rPr>
        <w:t>Siempre que en el presente Anexo se haga referencia al valor razonable de un instrumento financiero derivado, debe entenderse el mismo libre de riesgo, es decir sin incluir los ajustes por CVA y por DVA.</w:t>
      </w:r>
    </w:p>
    <w:p w14:paraId="61905EEF" w14:textId="77777777" w:rsidR="009F30D1" w:rsidRPr="00B151C0" w:rsidRDefault="009F30D1" w:rsidP="009F30D1">
      <w:pPr>
        <w:tabs>
          <w:tab w:val="left" w:pos="1701"/>
        </w:tabs>
        <w:rPr>
          <w:rFonts w:cs="Arial"/>
          <w:sz w:val="16"/>
          <w:szCs w:val="16"/>
        </w:rPr>
      </w:pPr>
    </w:p>
    <w:p w14:paraId="7A96F2C1" w14:textId="77777777" w:rsidR="009F30D1" w:rsidRPr="00B151C0" w:rsidRDefault="009F30D1" w:rsidP="009F30D1">
      <w:pPr>
        <w:pStyle w:val="Ttulo2"/>
        <w:spacing w:before="0" w:after="0"/>
        <w:rPr>
          <w:rFonts w:cs="Arial"/>
          <w:sz w:val="16"/>
          <w:szCs w:val="16"/>
          <w:lang w:eastAsia="es-ES"/>
        </w:rPr>
      </w:pPr>
      <w:bookmarkStart w:id="3" w:name="_Toc3399971"/>
      <w:r w:rsidRPr="00B151C0">
        <w:rPr>
          <w:rFonts w:cs="Arial"/>
          <w:sz w:val="16"/>
          <w:szCs w:val="16"/>
          <w:lang w:eastAsia="es-ES"/>
        </w:rPr>
        <w:t>1.1. E</w:t>
      </w:r>
      <w:r>
        <w:rPr>
          <w:rFonts w:cs="Arial"/>
          <w:sz w:val="16"/>
          <w:szCs w:val="16"/>
          <w:lang w:eastAsia="es-ES"/>
        </w:rPr>
        <w:t>C</w:t>
      </w:r>
      <w:r w:rsidRPr="00B151C0">
        <w:rPr>
          <w:rFonts w:cs="Arial"/>
          <w:sz w:val="16"/>
          <w:szCs w:val="16"/>
          <w:lang w:eastAsia="es-ES"/>
        </w:rPr>
        <w:t xml:space="preserve"> cuando no se ha pactado compensación </w:t>
      </w:r>
      <w:r>
        <w:rPr>
          <w:rFonts w:cs="Arial"/>
          <w:sz w:val="16"/>
          <w:szCs w:val="16"/>
          <w:lang w:eastAsia="es-ES"/>
        </w:rPr>
        <w:t xml:space="preserve">de </w:t>
      </w:r>
      <w:r w:rsidRPr="00B151C0">
        <w:rPr>
          <w:rFonts w:cs="Arial"/>
          <w:sz w:val="16"/>
          <w:szCs w:val="16"/>
          <w:lang w:eastAsia="es-ES"/>
        </w:rPr>
        <w:t>instrumentos financieros derivados con la contraparte</w:t>
      </w:r>
      <w:bookmarkEnd w:id="3"/>
    </w:p>
    <w:p w14:paraId="0BEBC097" w14:textId="77777777" w:rsidR="009F30D1" w:rsidRPr="00B151C0" w:rsidRDefault="009F30D1" w:rsidP="009F30D1">
      <w:pPr>
        <w:tabs>
          <w:tab w:val="left" w:pos="1701"/>
        </w:tabs>
        <w:rPr>
          <w:rFonts w:cs="Arial"/>
          <w:sz w:val="16"/>
          <w:szCs w:val="16"/>
          <w:lang w:eastAsia="es-ES"/>
        </w:rPr>
      </w:pPr>
    </w:p>
    <w:p w14:paraId="6E4818AD" w14:textId="77777777" w:rsidR="009F30D1" w:rsidRPr="00CB464C" w:rsidRDefault="009F30D1" w:rsidP="00024997">
      <w:pPr>
        <w:tabs>
          <w:tab w:val="left" w:pos="1701"/>
        </w:tabs>
        <w:rPr>
          <w:rFonts w:cs="Arial"/>
          <w:bCs/>
          <w:sz w:val="16"/>
          <w:szCs w:val="16"/>
          <w:lang w:eastAsia="es-ES"/>
        </w:rPr>
      </w:pPr>
      <w:r w:rsidRPr="00CB464C">
        <w:rPr>
          <w:rFonts w:cs="Arial"/>
          <w:bCs/>
          <w:sz w:val="16"/>
          <w:szCs w:val="16"/>
          <w:lang w:eastAsia="es-ES"/>
        </w:rPr>
        <w:t>La exposición crediticia de un instrumento financiero derivado se debe medir de la siguiente manera:</w:t>
      </w:r>
    </w:p>
    <w:p w14:paraId="5EE78B0C" w14:textId="77777777" w:rsidR="009F30D1" w:rsidRPr="00CB464C" w:rsidRDefault="009F30D1" w:rsidP="00024997">
      <w:pPr>
        <w:tabs>
          <w:tab w:val="left" w:pos="1701"/>
        </w:tabs>
        <w:rPr>
          <w:rFonts w:cs="Arial"/>
          <w:bCs/>
          <w:sz w:val="16"/>
          <w:szCs w:val="16"/>
          <w:lang w:eastAsia="es-ES"/>
        </w:rPr>
      </w:pPr>
    </w:p>
    <w:p w14:paraId="73CE4245" w14:textId="77777777" w:rsidR="009F30D1" w:rsidRPr="00CB464C" w:rsidRDefault="009F30D1" w:rsidP="00024997">
      <w:pPr>
        <w:tabs>
          <w:tab w:val="left" w:pos="1701"/>
        </w:tabs>
        <w:jc w:val="center"/>
        <w:rPr>
          <w:rFonts w:cs="Arial"/>
          <w:bCs/>
          <w:sz w:val="18"/>
          <w:szCs w:val="16"/>
          <w:lang w:val="it-IT" w:eastAsia="es-ES"/>
        </w:rPr>
      </w:pPr>
      <w:r w:rsidRPr="00CB464C">
        <w:rPr>
          <w:rFonts w:cs="Arial"/>
          <w:bCs/>
          <w:sz w:val="18"/>
          <w:szCs w:val="16"/>
          <w:lang w:val="it-IT" w:eastAsia="es-ES"/>
        </w:rPr>
        <w:t>EC = FA * [CR + (MG * EPF)], donde:</w:t>
      </w:r>
    </w:p>
    <w:p w14:paraId="4AD13505" w14:textId="77777777" w:rsidR="009F30D1" w:rsidRPr="00CB464C" w:rsidRDefault="009F30D1" w:rsidP="00024997">
      <w:pPr>
        <w:tabs>
          <w:tab w:val="left" w:pos="1701"/>
        </w:tabs>
        <w:jc w:val="center"/>
        <w:rPr>
          <w:rFonts w:cs="Arial"/>
          <w:bCs/>
          <w:sz w:val="18"/>
          <w:szCs w:val="16"/>
          <w:lang w:val="it-IT" w:eastAsia="es-ES"/>
        </w:rPr>
      </w:pPr>
    </w:p>
    <w:p w14:paraId="56EBE6A5" w14:textId="77777777" w:rsidR="009F30D1" w:rsidRPr="00CB464C" w:rsidRDefault="009F30D1" w:rsidP="00024997">
      <w:pPr>
        <w:tabs>
          <w:tab w:val="left" w:pos="851"/>
          <w:tab w:val="left" w:pos="1701"/>
        </w:tabs>
        <w:rPr>
          <w:rFonts w:cs="Arial"/>
          <w:bCs/>
          <w:sz w:val="16"/>
          <w:szCs w:val="16"/>
          <w:lang w:eastAsia="es-ES"/>
        </w:rPr>
      </w:pPr>
      <w:r w:rsidRPr="00CB464C">
        <w:rPr>
          <w:rFonts w:cs="Arial"/>
          <w:bCs/>
          <w:sz w:val="16"/>
          <w:szCs w:val="16"/>
          <w:u w:val="single"/>
          <w:lang w:eastAsia="es-ES"/>
        </w:rPr>
        <w:t>FA</w:t>
      </w:r>
      <w:r w:rsidRPr="00CB464C">
        <w:rPr>
          <w:rFonts w:cs="Arial"/>
          <w:bCs/>
          <w:sz w:val="16"/>
          <w:szCs w:val="16"/>
          <w:lang w:eastAsia="es-ES"/>
        </w:rPr>
        <w:t xml:space="preserve">   = Factor de ajuste = 1.4</w:t>
      </w:r>
    </w:p>
    <w:p w14:paraId="32FC1C03" w14:textId="77777777" w:rsidR="009F30D1" w:rsidRPr="00CB464C" w:rsidRDefault="009F30D1" w:rsidP="00024997">
      <w:pPr>
        <w:tabs>
          <w:tab w:val="left" w:pos="1701"/>
        </w:tabs>
        <w:jc w:val="center"/>
        <w:rPr>
          <w:rFonts w:cs="Arial"/>
          <w:bCs/>
          <w:sz w:val="18"/>
          <w:szCs w:val="16"/>
          <w:lang w:eastAsia="es-ES"/>
        </w:rPr>
      </w:pPr>
    </w:p>
    <w:p w14:paraId="0CCB714A" w14:textId="77777777" w:rsidR="009F30D1" w:rsidRPr="00CB464C" w:rsidRDefault="009F30D1" w:rsidP="00024997">
      <w:pPr>
        <w:tabs>
          <w:tab w:val="left" w:pos="851"/>
          <w:tab w:val="left" w:pos="1701"/>
        </w:tabs>
        <w:rPr>
          <w:rFonts w:cs="Arial"/>
          <w:bCs/>
          <w:sz w:val="16"/>
          <w:szCs w:val="16"/>
          <w:lang w:eastAsia="es-ES"/>
        </w:rPr>
      </w:pPr>
      <w:r w:rsidRPr="00CB464C">
        <w:rPr>
          <w:rFonts w:cs="Arial"/>
          <w:bCs/>
          <w:sz w:val="16"/>
          <w:szCs w:val="16"/>
          <w:u w:val="single"/>
          <w:lang w:eastAsia="es-ES"/>
        </w:rPr>
        <w:t>CR</w:t>
      </w:r>
      <w:r w:rsidRPr="00CB464C">
        <w:rPr>
          <w:rFonts w:cs="Arial"/>
          <w:bCs/>
          <w:sz w:val="16"/>
          <w:szCs w:val="16"/>
          <w:lang w:eastAsia="es-ES"/>
        </w:rPr>
        <w:t xml:space="preserve">   = Costo de Reposición. Se define como:</w:t>
      </w:r>
    </w:p>
    <w:p w14:paraId="73C5E152" w14:textId="77777777" w:rsidR="009F30D1" w:rsidRPr="00CB464C" w:rsidRDefault="009F30D1" w:rsidP="00024997">
      <w:pPr>
        <w:tabs>
          <w:tab w:val="left" w:pos="851"/>
          <w:tab w:val="left" w:pos="1701"/>
        </w:tabs>
        <w:rPr>
          <w:rFonts w:cs="Arial"/>
          <w:bCs/>
          <w:sz w:val="16"/>
          <w:szCs w:val="16"/>
          <w:lang w:eastAsia="es-ES"/>
        </w:rPr>
      </w:pPr>
    </w:p>
    <w:p w14:paraId="096204E6" w14:textId="77777777" w:rsidR="009F30D1" w:rsidRPr="00CB464C" w:rsidRDefault="009F30D1" w:rsidP="00024997">
      <w:pPr>
        <w:tabs>
          <w:tab w:val="left" w:pos="851"/>
          <w:tab w:val="left" w:pos="1701"/>
        </w:tabs>
        <w:jc w:val="center"/>
        <w:rPr>
          <w:rFonts w:cs="Arial"/>
          <w:bCs/>
          <w:sz w:val="18"/>
          <w:szCs w:val="16"/>
          <w:lang w:val="es-CO" w:eastAsia="es-ES"/>
        </w:rPr>
      </w:pPr>
      <w:r w:rsidRPr="00CB464C">
        <w:rPr>
          <w:rFonts w:cs="Arial"/>
          <w:bCs/>
          <w:sz w:val="18"/>
          <w:szCs w:val="16"/>
          <w:lang w:val="es-CO" w:eastAsia="es-ES"/>
        </w:rPr>
        <w:t>CR = Max {0, VR – C, TH + MTA – NICA}, donde:</w:t>
      </w:r>
    </w:p>
    <w:p w14:paraId="106293A5" w14:textId="77777777" w:rsidR="009F30D1" w:rsidRPr="00CB464C" w:rsidRDefault="009F30D1" w:rsidP="00024997">
      <w:pPr>
        <w:tabs>
          <w:tab w:val="left" w:pos="851"/>
          <w:tab w:val="left" w:pos="1701"/>
        </w:tabs>
        <w:jc w:val="center"/>
        <w:rPr>
          <w:rFonts w:cs="Arial"/>
          <w:bCs/>
          <w:sz w:val="16"/>
          <w:szCs w:val="16"/>
          <w:lang w:val="es-CO" w:eastAsia="es-ES"/>
        </w:rPr>
      </w:pPr>
    </w:p>
    <w:p w14:paraId="30C6DB3D" w14:textId="77777777" w:rsidR="009F30D1" w:rsidRPr="00CB464C" w:rsidRDefault="009F30D1" w:rsidP="00024997">
      <w:pPr>
        <w:tabs>
          <w:tab w:val="left" w:pos="851"/>
          <w:tab w:val="left" w:pos="1701"/>
        </w:tabs>
        <w:jc w:val="center"/>
        <w:rPr>
          <w:rFonts w:cs="Arial"/>
          <w:bCs/>
          <w:sz w:val="16"/>
          <w:szCs w:val="16"/>
          <w:lang w:val="es-CO" w:eastAsia="es-ES"/>
        </w:rPr>
      </w:pPr>
    </w:p>
    <w:p w14:paraId="57D572C6" w14:textId="77777777" w:rsidR="009F30D1" w:rsidRPr="00CB464C" w:rsidRDefault="009F30D1" w:rsidP="00024997">
      <w:pPr>
        <w:tabs>
          <w:tab w:val="left" w:pos="851"/>
          <w:tab w:val="left" w:pos="1701"/>
        </w:tabs>
        <w:ind w:left="1134" w:hanging="1134"/>
        <w:rPr>
          <w:rFonts w:cs="Arial"/>
          <w:bCs/>
          <w:sz w:val="16"/>
          <w:szCs w:val="16"/>
          <w:lang w:eastAsia="es-ES"/>
        </w:rPr>
      </w:pPr>
      <w:r w:rsidRPr="00CB464C">
        <w:rPr>
          <w:rFonts w:cs="Arial"/>
          <w:bCs/>
          <w:sz w:val="16"/>
          <w:szCs w:val="16"/>
          <w:lang w:eastAsia="es-ES"/>
        </w:rPr>
        <w:t xml:space="preserve">VR                 </w:t>
      </w:r>
      <w:r w:rsidRPr="00CB464C">
        <w:rPr>
          <w:rFonts w:cs="Arial"/>
          <w:bCs/>
          <w:sz w:val="16"/>
          <w:szCs w:val="16"/>
          <w:lang w:eastAsia="es-ES"/>
        </w:rPr>
        <w:tab/>
        <w:t>= Valor razonable del instrumento financiero derivado</w:t>
      </w:r>
    </w:p>
    <w:p w14:paraId="32A0F7F0" w14:textId="77777777" w:rsidR="009F30D1" w:rsidRPr="00CB464C" w:rsidRDefault="009F30D1" w:rsidP="00024997">
      <w:pPr>
        <w:tabs>
          <w:tab w:val="left" w:pos="851"/>
          <w:tab w:val="left" w:pos="1701"/>
        </w:tabs>
        <w:ind w:left="1134" w:hanging="1134"/>
        <w:rPr>
          <w:rFonts w:cs="Arial"/>
          <w:bCs/>
          <w:sz w:val="16"/>
          <w:szCs w:val="16"/>
          <w:lang w:eastAsia="es-ES"/>
        </w:rPr>
      </w:pPr>
    </w:p>
    <w:p w14:paraId="64547C24" w14:textId="77777777" w:rsidR="009F30D1" w:rsidRPr="00CB464C" w:rsidRDefault="009F30D1" w:rsidP="00024997">
      <w:pPr>
        <w:tabs>
          <w:tab w:val="left" w:pos="851"/>
          <w:tab w:val="left" w:pos="1701"/>
        </w:tabs>
        <w:ind w:left="1134" w:hanging="1134"/>
        <w:rPr>
          <w:rFonts w:cs="Arial"/>
          <w:bCs/>
          <w:sz w:val="16"/>
          <w:szCs w:val="16"/>
          <w:lang w:eastAsia="es-ES"/>
        </w:rPr>
      </w:pPr>
      <w:bookmarkStart w:id="4" w:name="_Hlk2836417"/>
      <w:r w:rsidRPr="00CB464C">
        <w:rPr>
          <w:rFonts w:cs="Arial"/>
          <w:bCs/>
          <w:sz w:val="16"/>
          <w:szCs w:val="16"/>
          <w:lang w:eastAsia="es-ES"/>
        </w:rPr>
        <w:t xml:space="preserve">C                 </w:t>
      </w:r>
      <w:r w:rsidRPr="00CB464C">
        <w:rPr>
          <w:rFonts w:cs="Arial"/>
          <w:bCs/>
          <w:sz w:val="16"/>
          <w:szCs w:val="16"/>
          <w:lang w:eastAsia="es-ES"/>
        </w:rPr>
        <w:tab/>
        <w:t>= Valor razonable de las garantías netas admisibles ponderadas por el ‘</w:t>
      </w:r>
      <w:proofErr w:type="spellStart"/>
      <w:r w:rsidRPr="00CB464C">
        <w:rPr>
          <w:rFonts w:cs="Arial"/>
          <w:bCs/>
          <w:sz w:val="16"/>
          <w:szCs w:val="16"/>
          <w:lang w:eastAsia="es-ES"/>
        </w:rPr>
        <w:t>haircut</w:t>
      </w:r>
      <w:proofErr w:type="spellEnd"/>
      <w:r w:rsidRPr="00CB464C">
        <w:rPr>
          <w:rFonts w:cs="Arial"/>
          <w:bCs/>
          <w:sz w:val="16"/>
          <w:szCs w:val="16"/>
          <w:lang w:eastAsia="es-ES"/>
        </w:rPr>
        <w:t>’ aplicable según el tipo de activo, de acuerdo con la tabla contenida en el numeral 1.3 del presente Anexo.</w:t>
      </w:r>
      <w:bookmarkEnd w:id="4"/>
    </w:p>
    <w:p w14:paraId="182B55A2" w14:textId="77777777" w:rsidR="009F30D1" w:rsidRPr="00CB464C" w:rsidRDefault="009F30D1" w:rsidP="00024997">
      <w:pPr>
        <w:tabs>
          <w:tab w:val="left" w:pos="851"/>
          <w:tab w:val="left" w:pos="1701"/>
        </w:tabs>
        <w:ind w:left="1134" w:hanging="1134"/>
        <w:rPr>
          <w:rFonts w:cs="Arial"/>
          <w:bCs/>
          <w:sz w:val="16"/>
          <w:szCs w:val="16"/>
          <w:lang w:eastAsia="es-ES"/>
        </w:rPr>
      </w:pPr>
    </w:p>
    <w:p w14:paraId="5180F88C" w14:textId="77777777" w:rsidR="009F30D1" w:rsidRPr="00CB464C" w:rsidRDefault="009F30D1" w:rsidP="00024997">
      <w:pPr>
        <w:tabs>
          <w:tab w:val="left" w:pos="851"/>
          <w:tab w:val="left" w:pos="1701"/>
        </w:tabs>
        <w:ind w:left="1134" w:hanging="1134"/>
        <w:rPr>
          <w:rFonts w:cs="Arial"/>
          <w:bCs/>
          <w:sz w:val="16"/>
          <w:szCs w:val="16"/>
          <w:lang w:eastAsia="es-ES"/>
        </w:rPr>
      </w:pPr>
      <w:r w:rsidRPr="00CB464C">
        <w:rPr>
          <w:rFonts w:cs="Arial"/>
          <w:bCs/>
          <w:sz w:val="16"/>
          <w:szCs w:val="16"/>
          <w:lang w:eastAsia="es-ES"/>
        </w:rPr>
        <w:t>TH</w:t>
      </w:r>
      <w:r w:rsidRPr="00CB464C">
        <w:rPr>
          <w:rFonts w:cs="Arial"/>
          <w:bCs/>
          <w:sz w:val="16"/>
          <w:szCs w:val="16"/>
          <w:lang w:eastAsia="es-ES"/>
        </w:rPr>
        <w:tab/>
      </w:r>
      <w:r w:rsidRPr="00CB464C">
        <w:rPr>
          <w:rFonts w:cs="Arial"/>
          <w:bCs/>
          <w:sz w:val="16"/>
          <w:szCs w:val="16"/>
          <w:lang w:eastAsia="es-ES"/>
        </w:rPr>
        <w:tab/>
        <w:t>= Umbral o ‘</w:t>
      </w:r>
      <w:proofErr w:type="spellStart"/>
      <w:r w:rsidRPr="00CB464C">
        <w:rPr>
          <w:rFonts w:cs="Arial"/>
          <w:bCs/>
          <w:sz w:val="16"/>
          <w:szCs w:val="16"/>
          <w:lang w:eastAsia="es-ES"/>
        </w:rPr>
        <w:t>threshold</w:t>
      </w:r>
      <w:proofErr w:type="spellEnd"/>
      <w:r w:rsidRPr="00CB464C">
        <w:rPr>
          <w:rFonts w:cs="Arial"/>
          <w:bCs/>
          <w:sz w:val="16"/>
          <w:szCs w:val="16"/>
          <w:lang w:eastAsia="es-ES"/>
        </w:rPr>
        <w:t>’. Corresponde al monto de la exposición a partir de la cual la contraparte debe intercambiar garantías para margen variable con la entidad.</w:t>
      </w:r>
    </w:p>
    <w:p w14:paraId="5BCC04C0" w14:textId="77777777" w:rsidR="009F30D1" w:rsidRPr="00CB464C" w:rsidRDefault="009F30D1" w:rsidP="00024997">
      <w:pPr>
        <w:tabs>
          <w:tab w:val="left" w:pos="851"/>
          <w:tab w:val="left" w:pos="1701"/>
        </w:tabs>
        <w:ind w:left="1134" w:hanging="1134"/>
        <w:rPr>
          <w:rFonts w:cs="Arial"/>
          <w:bCs/>
          <w:sz w:val="16"/>
          <w:szCs w:val="16"/>
          <w:lang w:eastAsia="es-ES"/>
        </w:rPr>
      </w:pPr>
    </w:p>
    <w:p w14:paraId="3CDF1730" w14:textId="77777777" w:rsidR="009F30D1" w:rsidRPr="00CB464C" w:rsidRDefault="009F30D1" w:rsidP="00024997">
      <w:pPr>
        <w:tabs>
          <w:tab w:val="left" w:pos="851"/>
          <w:tab w:val="left" w:pos="1701"/>
        </w:tabs>
        <w:ind w:left="1134" w:hanging="1134"/>
        <w:rPr>
          <w:rFonts w:cs="Arial"/>
          <w:bCs/>
          <w:sz w:val="16"/>
          <w:szCs w:val="16"/>
          <w:lang w:eastAsia="es-ES"/>
        </w:rPr>
      </w:pPr>
      <w:r w:rsidRPr="00CB464C">
        <w:rPr>
          <w:rFonts w:cs="Arial"/>
          <w:bCs/>
          <w:sz w:val="16"/>
          <w:szCs w:val="16"/>
          <w:lang w:eastAsia="es-ES"/>
        </w:rPr>
        <w:t>MTA</w:t>
      </w:r>
      <w:r w:rsidRPr="00CB464C">
        <w:rPr>
          <w:rFonts w:cs="Arial"/>
          <w:bCs/>
          <w:sz w:val="16"/>
          <w:szCs w:val="16"/>
          <w:lang w:eastAsia="es-ES"/>
        </w:rPr>
        <w:tab/>
      </w:r>
      <w:r w:rsidRPr="00CB464C">
        <w:rPr>
          <w:rFonts w:cs="Arial"/>
          <w:bCs/>
          <w:sz w:val="16"/>
          <w:szCs w:val="16"/>
          <w:lang w:eastAsia="es-ES"/>
        </w:rPr>
        <w:tab/>
        <w:t>= Monto mínimo de transferencia o ‘</w:t>
      </w:r>
      <w:proofErr w:type="spellStart"/>
      <w:r w:rsidRPr="00CB464C">
        <w:rPr>
          <w:rFonts w:cs="Arial"/>
          <w:bCs/>
          <w:sz w:val="16"/>
          <w:szCs w:val="16"/>
          <w:lang w:eastAsia="es-ES"/>
        </w:rPr>
        <w:t>minimum</w:t>
      </w:r>
      <w:proofErr w:type="spellEnd"/>
      <w:r w:rsidRPr="00CB464C">
        <w:rPr>
          <w:rFonts w:cs="Arial"/>
          <w:bCs/>
          <w:sz w:val="16"/>
          <w:szCs w:val="16"/>
          <w:lang w:eastAsia="es-ES"/>
        </w:rPr>
        <w:t xml:space="preserve"> transfer </w:t>
      </w:r>
      <w:proofErr w:type="spellStart"/>
      <w:r w:rsidRPr="00CB464C">
        <w:rPr>
          <w:rFonts w:cs="Arial"/>
          <w:bCs/>
          <w:sz w:val="16"/>
          <w:szCs w:val="16"/>
          <w:lang w:eastAsia="es-ES"/>
        </w:rPr>
        <w:t>amount</w:t>
      </w:r>
      <w:proofErr w:type="spellEnd"/>
      <w:r w:rsidRPr="00CB464C">
        <w:rPr>
          <w:rFonts w:cs="Arial"/>
          <w:bCs/>
          <w:sz w:val="16"/>
          <w:szCs w:val="16"/>
          <w:lang w:eastAsia="es-ES"/>
        </w:rPr>
        <w:t>’. Corresponde al monto mínimo del valor de las garantías para margen variable que la contraparte debe transferir a favor de la entidad.</w:t>
      </w:r>
    </w:p>
    <w:p w14:paraId="55895352" w14:textId="77777777" w:rsidR="009F30D1" w:rsidRPr="00CB464C" w:rsidRDefault="009F30D1" w:rsidP="00024997">
      <w:pPr>
        <w:tabs>
          <w:tab w:val="left" w:pos="851"/>
          <w:tab w:val="left" w:pos="1701"/>
        </w:tabs>
        <w:ind w:left="1134" w:hanging="1134"/>
        <w:rPr>
          <w:rFonts w:cs="Arial"/>
          <w:bCs/>
          <w:sz w:val="16"/>
          <w:szCs w:val="16"/>
          <w:lang w:eastAsia="es-ES"/>
        </w:rPr>
      </w:pPr>
    </w:p>
    <w:p w14:paraId="104E4430" w14:textId="77777777" w:rsidR="009F30D1" w:rsidRPr="00CB464C" w:rsidRDefault="009F30D1" w:rsidP="00024997">
      <w:pPr>
        <w:tabs>
          <w:tab w:val="left" w:pos="851"/>
          <w:tab w:val="left" w:pos="1701"/>
        </w:tabs>
        <w:ind w:left="1134" w:hanging="1134"/>
        <w:rPr>
          <w:rFonts w:cs="Arial"/>
          <w:bCs/>
          <w:sz w:val="16"/>
          <w:szCs w:val="16"/>
          <w:lang w:eastAsia="es-ES"/>
        </w:rPr>
      </w:pPr>
      <w:r w:rsidRPr="00CB464C">
        <w:rPr>
          <w:rFonts w:cs="Arial"/>
          <w:bCs/>
          <w:sz w:val="16"/>
          <w:szCs w:val="16"/>
          <w:lang w:eastAsia="es-ES"/>
        </w:rPr>
        <w:t>NICA</w:t>
      </w:r>
      <w:r w:rsidRPr="00CB464C">
        <w:rPr>
          <w:rFonts w:cs="Arial"/>
          <w:bCs/>
          <w:sz w:val="16"/>
          <w:szCs w:val="16"/>
          <w:lang w:eastAsia="es-ES"/>
        </w:rPr>
        <w:tab/>
      </w:r>
      <w:r w:rsidRPr="00CB464C">
        <w:rPr>
          <w:rFonts w:cs="Arial"/>
          <w:bCs/>
          <w:sz w:val="16"/>
          <w:szCs w:val="16"/>
          <w:lang w:eastAsia="es-ES"/>
        </w:rPr>
        <w:tab/>
        <w:t xml:space="preserve">= Valor de la garantía inicial neta. Corresponde al valor razonable de la garantía inicial constituida por la contraparte menos el valor razonable de la garantía inicial constituida por la entidad. Por garantía inicial se entienden i) Las garantías constituidas diferentes a margen variable que la entidad puede ejecutar en caso de incumplimiento de la contraparte, y cuyo valor no depende del valor de las transacciones que garantiza y/o </w:t>
      </w:r>
      <w:proofErr w:type="spellStart"/>
      <w:r w:rsidRPr="00CB464C">
        <w:rPr>
          <w:rFonts w:cs="Arial"/>
          <w:bCs/>
          <w:sz w:val="16"/>
          <w:szCs w:val="16"/>
          <w:lang w:eastAsia="es-ES"/>
        </w:rPr>
        <w:t>ii</w:t>
      </w:r>
      <w:proofErr w:type="spellEnd"/>
      <w:r w:rsidRPr="00CB464C">
        <w:rPr>
          <w:rFonts w:cs="Arial"/>
          <w:bCs/>
          <w:sz w:val="16"/>
          <w:szCs w:val="16"/>
          <w:lang w:eastAsia="es-ES"/>
        </w:rPr>
        <w:t>) el o monto independiente o ‘</w:t>
      </w:r>
      <w:proofErr w:type="spellStart"/>
      <w:r w:rsidRPr="00CB464C">
        <w:rPr>
          <w:rFonts w:cs="Arial"/>
          <w:bCs/>
          <w:sz w:val="16"/>
          <w:szCs w:val="16"/>
          <w:lang w:eastAsia="es-ES"/>
        </w:rPr>
        <w:t>Independent</w:t>
      </w:r>
      <w:proofErr w:type="spellEnd"/>
      <w:r w:rsidRPr="00CB464C">
        <w:rPr>
          <w:rFonts w:cs="Arial"/>
          <w:bCs/>
          <w:sz w:val="16"/>
          <w:szCs w:val="16"/>
          <w:lang w:eastAsia="es-ES"/>
        </w:rPr>
        <w:t xml:space="preserve"> </w:t>
      </w:r>
      <w:proofErr w:type="spellStart"/>
      <w:r w:rsidRPr="00CB464C">
        <w:rPr>
          <w:rFonts w:cs="Arial"/>
          <w:bCs/>
          <w:sz w:val="16"/>
          <w:szCs w:val="16"/>
          <w:lang w:eastAsia="es-ES"/>
        </w:rPr>
        <w:t>Amount</w:t>
      </w:r>
      <w:proofErr w:type="spellEnd"/>
      <w:r w:rsidRPr="00CB464C">
        <w:rPr>
          <w:rFonts w:cs="Arial"/>
          <w:bCs/>
          <w:sz w:val="16"/>
          <w:szCs w:val="16"/>
          <w:lang w:eastAsia="es-ES"/>
        </w:rPr>
        <w:t>’ referido en la documentación estandarizada. Para el cálculo de la garantía inicial constituida por la entidad se debe restar el valor de las garantías otorgadas por la entidad que se mantengan en cuentas o mecanismos que garanticen la segregación patrimonial de estas garantías y su disponibilidad en caso de un evento de insolvencia de la contraparte.</w:t>
      </w:r>
    </w:p>
    <w:p w14:paraId="259A9F49" w14:textId="77777777" w:rsidR="009F30D1" w:rsidRDefault="009F30D1" w:rsidP="009F30D1">
      <w:pPr>
        <w:tabs>
          <w:tab w:val="left" w:pos="851"/>
          <w:tab w:val="left" w:pos="1701"/>
        </w:tabs>
        <w:rPr>
          <w:rFonts w:cs="Arial"/>
          <w:sz w:val="16"/>
          <w:szCs w:val="16"/>
          <w:lang w:eastAsia="es-ES"/>
        </w:rPr>
      </w:pPr>
    </w:p>
    <w:p w14:paraId="37DD6FB0" w14:textId="77777777" w:rsidR="009F30D1" w:rsidRDefault="009F30D1" w:rsidP="009F30D1">
      <w:pPr>
        <w:tabs>
          <w:tab w:val="left" w:pos="851"/>
          <w:tab w:val="left" w:pos="1701"/>
        </w:tabs>
        <w:rPr>
          <w:rFonts w:cs="Arial"/>
          <w:sz w:val="16"/>
          <w:szCs w:val="16"/>
          <w:lang w:eastAsia="es-ES"/>
        </w:rPr>
      </w:pPr>
      <w:bookmarkStart w:id="5" w:name="_Hlk2836135"/>
      <w:r w:rsidRPr="004B373E">
        <w:rPr>
          <w:rFonts w:cs="Arial"/>
          <w:b/>
          <w:sz w:val="16"/>
          <w:szCs w:val="16"/>
          <w:u w:val="single"/>
          <w:lang w:eastAsia="es-ES"/>
        </w:rPr>
        <w:t>EPF</w:t>
      </w:r>
      <w:r>
        <w:rPr>
          <w:rFonts w:cs="Arial"/>
          <w:b/>
          <w:sz w:val="16"/>
          <w:szCs w:val="16"/>
          <w:lang w:eastAsia="es-ES"/>
        </w:rPr>
        <w:t xml:space="preserve"> =</w:t>
      </w:r>
      <w:r>
        <w:rPr>
          <w:rFonts w:cs="Arial"/>
          <w:sz w:val="16"/>
          <w:szCs w:val="16"/>
          <w:lang w:eastAsia="es-ES"/>
        </w:rPr>
        <w:t xml:space="preserve"> Exposición Potencial Futura. Se define como:</w:t>
      </w:r>
      <w:bookmarkEnd w:id="5"/>
      <w:r>
        <w:rPr>
          <w:rFonts w:cs="Arial"/>
          <w:sz w:val="16"/>
          <w:szCs w:val="16"/>
          <w:lang w:eastAsia="es-ES"/>
        </w:rPr>
        <w:t xml:space="preserve">      </w:t>
      </w:r>
    </w:p>
    <w:p w14:paraId="4512874F" w14:textId="77777777" w:rsidR="009F30D1" w:rsidRDefault="009F30D1" w:rsidP="009F30D1">
      <w:pPr>
        <w:tabs>
          <w:tab w:val="left" w:pos="851"/>
          <w:tab w:val="left" w:pos="1701"/>
        </w:tabs>
        <w:rPr>
          <w:rFonts w:cs="Arial"/>
          <w:sz w:val="16"/>
          <w:szCs w:val="16"/>
          <w:lang w:eastAsia="es-ES"/>
        </w:rPr>
      </w:pPr>
    </w:p>
    <w:p w14:paraId="35EFE127" w14:textId="07A46E4E" w:rsidR="00405F12" w:rsidRPr="00024997" w:rsidRDefault="00024997" w:rsidP="006F1F5B">
      <w:pPr>
        <w:pBdr>
          <w:left w:val="single" w:sz="4" w:space="4" w:color="auto"/>
        </w:pBdr>
        <w:tabs>
          <w:tab w:val="left" w:pos="851"/>
          <w:tab w:val="left" w:pos="1701"/>
        </w:tabs>
        <w:jc w:val="center"/>
        <w:rPr>
          <w:rFonts w:cs="Arial"/>
          <w:b/>
          <w:bCs/>
          <w:sz w:val="18"/>
          <w:szCs w:val="16"/>
          <w:lang w:eastAsia="es-ES"/>
        </w:rPr>
      </w:pPr>
      <m:oMathPara>
        <m:oMath>
          <m:r>
            <m:rPr>
              <m:sty m:val="bi"/>
            </m:rPr>
            <w:rPr>
              <w:rFonts w:ascii="Cambria Math" w:hAnsi="Cambria Math" w:cs="Arial"/>
              <w:sz w:val="18"/>
              <w:szCs w:val="16"/>
              <w:lang w:eastAsia="es-ES"/>
            </w:rPr>
            <m:t>EPF=</m:t>
          </m:r>
          <m:func>
            <m:funcPr>
              <m:ctrlPr>
                <w:rPr>
                  <w:rFonts w:ascii="Cambria Math" w:hAnsi="Cambria Math" w:cs="Arial"/>
                  <w:b/>
                  <w:bCs/>
                  <w:i/>
                  <w:sz w:val="18"/>
                  <w:szCs w:val="16"/>
                  <w:lang w:eastAsia="es-ES"/>
                </w:rPr>
              </m:ctrlPr>
            </m:funcPr>
            <m:fName>
              <m:r>
                <m:rPr>
                  <m:sty m:val="bi"/>
                </m:rPr>
                <w:rPr>
                  <w:rFonts w:ascii="Cambria Math" w:hAnsi="Cambria Math" w:cs="Arial"/>
                  <w:sz w:val="18"/>
                  <w:szCs w:val="16"/>
                  <w:lang w:eastAsia="es-ES"/>
                </w:rPr>
                <m:t>valor absoluto</m:t>
              </m:r>
              <m:r>
                <m:rPr>
                  <m:sty m:val="b"/>
                </m:rPr>
                <w:rPr>
                  <w:rFonts w:ascii="Cambria Math" w:hAnsi="Cambria Math" w:cs="Arial"/>
                  <w:sz w:val="18"/>
                  <w:szCs w:val="16"/>
                  <w:lang w:eastAsia="es-ES"/>
                </w:rPr>
                <m:t>(</m:t>
              </m:r>
              <m:r>
                <m:rPr>
                  <m:sty m:val="bi"/>
                </m:rPr>
                <w:rPr>
                  <w:rFonts w:ascii="Cambria Math" w:hAnsi="Cambria Math" w:cs="Arial"/>
                  <w:sz w:val="18"/>
                  <w:szCs w:val="16"/>
                  <w:lang w:eastAsia="es-ES"/>
                </w:rPr>
                <m:t>VNE*FC</m:t>
              </m:r>
              <m:r>
                <m:rPr>
                  <m:sty m:val="b"/>
                </m:rPr>
                <w:rPr>
                  <w:rFonts w:ascii="Cambria Math" w:hAnsi="Cambria Math" w:cs="Arial"/>
                  <w:sz w:val="18"/>
                  <w:szCs w:val="16"/>
                  <w:lang w:eastAsia="es-ES"/>
                </w:rPr>
                <m:t>)</m:t>
              </m:r>
            </m:fName>
            <m:e>
              <m:r>
                <m:rPr>
                  <m:sty m:val="bi"/>
                </m:rPr>
                <w:rPr>
                  <w:rFonts w:ascii="Cambria Math" w:hAnsi="Cambria Math" w:cs="Arial"/>
                  <w:sz w:val="18"/>
                  <w:szCs w:val="16"/>
                  <w:lang w:eastAsia="es-ES"/>
                </w:rPr>
                <m:t xml:space="preserve"> donde, </m:t>
              </m:r>
            </m:e>
          </m:func>
        </m:oMath>
      </m:oMathPara>
    </w:p>
    <w:p w14:paraId="3CB8CE1A" w14:textId="77777777" w:rsidR="009F30D1" w:rsidRDefault="009F30D1" w:rsidP="009F30D1">
      <w:pPr>
        <w:tabs>
          <w:tab w:val="left" w:pos="851"/>
          <w:tab w:val="left" w:pos="1701"/>
        </w:tabs>
        <w:rPr>
          <w:rFonts w:cs="Arial"/>
          <w:b/>
          <w:sz w:val="16"/>
          <w:szCs w:val="16"/>
          <w:lang w:eastAsia="es-ES"/>
        </w:rPr>
      </w:pPr>
    </w:p>
    <w:p w14:paraId="18C794B0" w14:textId="36DE3DA6" w:rsidR="009F30D1" w:rsidRPr="0059557E" w:rsidRDefault="009F30D1" w:rsidP="001D1ADA">
      <w:pPr>
        <w:widowControl w:val="0"/>
        <w:suppressLineNumbers/>
        <w:pBdr>
          <w:left w:val="single" w:sz="4" w:space="4" w:color="auto"/>
        </w:pBdr>
        <w:suppressAutoHyphens/>
        <w:ind w:left="1136" w:hanging="1136"/>
        <w:rPr>
          <w:rFonts w:cs="Arial"/>
          <w:b/>
          <w:bCs/>
          <w:sz w:val="16"/>
          <w:szCs w:val="16"/>
          <w:lang w:eastAsia="es-ES"/>
        </w:rPr>
      </w:pPr>
      <w:r>
        <w:rPr>
          <w:rFonts w:cs="Arial"/>
          <w:b/>
          <w:sz w:val="16"/>
          <w:szCs w:val="16"/>
          <w:lang w:eastAsia="es-ES"/>
        </w:rPr>
        <w:t>VN</w:t>
      </w:r>
      <w:r w:rsidR="00FC2655">
        <w:rPr>
          <w:rFonts w:cs="Arial"/>
          <w:b/>
          <w:sz w:val="16"/>
          <w:szCs w:val="16"/>
          <w:lang w:eastAsia="es-ES"/>
        </w:rPr>
        <w:t>E</w:t>
      </w:r>
      <w:r>
        <w:rPr>
          <w:rFonts w:cs="Arial"/>
          <w:b/>
          <w:sz w:val="16"/>
          <w:szCs w:val="16"/>
          <w:lang w:eastAsia="es-ES"/>
        </w:rPr>
        <w:t xml:space="preserve">                  </w:t>
      </w:r>
      <w:r>
        <w:tab/>
      </w:r>
      <w:r>
        <w:rPr>
          <w:rFonts w:cs="Arial"/>
          <w:b/>
          <w:sz w:val="16"/>
          <w:szCs w:val="16"/>
          <w:lang w:eastAsia="es-ES"/>
        </w:rPr>
        <w:t xml:space="preserve">= </w:t>
      </w:r>
      <w:r>
        <w:tab/>
      </w:r>
      <w:r>
        <w:tab/>
      </w:r>
      <w:r>
        <w:tab/>
      </w:r>
      <w:r>
        <w:tab/>
      </w:r>
      <w:r w:rsidRPr="0059557E">
        <w:rPr>
          <w:rFonts w:cs="Arial"/>
          <w:b/>
          <w:bCs/>
          <w:sz w:val="16"/>
          <w:szCs w:val="16"/>
          <w:lang w:eastAsia="es-ES"/>
        </w:rPr>
        <w:t xml:space="preserve">Valor </w:t>
      </w:r>
      <w:r w:rsidR="002019D9" w:rsidRPr="0059557E">
        <w:rPr>
          <w:rFonts w:cs="Arial"/>
          <w:b/>
          <w:bCs/>
          <w:sz w:val="16"/>
          <w:szCs w:val="16"/>
          <w:lang w:eastAsia="es-ES"/>
        </w:rPr>
        <w:t>N</w:t>
      </w:r>
      <w:r w:rsidRPr="0059557E">
        <w:rPr>
          <w:rFonts w:cs="Arial"/>
          <w:b/>
          <w:bCs/>
          <w:sz w:val="16"/>
          <w:szCs w:val="16"/>
          <w:lang w:eastAsia="es-ES"/>
        </w:rPr>
        <w:t xml:space="preserve">ominal </w:t>
      </w:r>
      <w:r w:rsidR="002019D9" w:rsidRPr="0059557E">
        <w:rPr>
          <w:rFonts w:cs="Arial"/>
          <w:b/>
          <w:bCs/>
          <w:sz w:val="16"/>
          <w:szCs w:val="16"/>
          <w:lang w:eastAsia="es-ES"/>
        </w:rPr>
        <w:t>E</w:t>
      </w:r>
      <w:r w:rsidR="00FC2655" w:rsidRPr="0059557E">
        <w:rPr>
          <w:rFonts w:cs="Arial"/>
          <w:b/>
          <w:bCs/>
          <w:sz w:val="16"/>
          <w:szCs w:val="16"/>
          <w:lang w:eastAsia="es-ES"/>
        </w:rPr>
        <w:t xml:space="preserve">fectivo </w:t>
      </w:r>
      <w:r w:rsidRPr="0059557E">
        <w:rPr>
          <w:rFonts w:cs="Arial"/>
          <w:b/>
          <w:bCs/>
          <w:sz w:val="16"/>
          <w:szCs w:val="16"/>
          <w:lang w:eastAsia="es-ES"/>
        </w:rPr>
        <w:t>del instrumento financiero derivado, expresado en pesos colombianos</w:t>
      </w:r>
      <w:r w:rsidR="00FC2655" w:rsidRPr="0059557E">
        <w:rPr>
          <w:rFonts w:cs="Arial"/>
          <w:b/>
          <w:bCs/>
          <w:sz w:val="16"/>
          <w:szCs w:val="16"/>
          <w:lang w:eastAsia="es-ES"/>
        </w:rPr>
        <w:t xml:space="preserve">, </w:t>
      </w:r>
      <w:r w:rsidR="00CA2995" w:rsidRPr="0059557E">
        <w:rPr>
          <w:rFonts w:cs="Arial"/>
          <w:b/>
          <w:bCs/>
          <w:sz w:val="16"/>
          <w:szCs w:val="16"/>
          <w:lang w:eastAsia="es-ES"/>
        </w:rPr>
        <w:t>calculado</w:t>
      </w:r>
      <w:r w:rsidR="00FC2655" w:rsidRPr="0059557E">
        <w:rPr>
          <w:rFonts w:cs="Arial"/>
          <w:b/>
          <w:bCs/>
          <w:sz w:val="16"/>
          <w:szCs w:val="16"/>
          <w:lang w:eastAsia="es-ES"/>
        </w:rPr>
        <w:t xml:space="preserve"> según se establece en el </w:t>
      </w:r>
      <w:r w:rsidR="00A02608">
        <w:rPr>
          <w:rFonts w:cs="Arial"/>
          <w:b/>
          <w:bCs/>
          <w:sz w:val="16"/>
          <w:szCs w:val="16"/>
          <w:lang w:eastAsia="es-ES"/>
        </w:rPr>
        <w:t>sub</w:t>
      </w:r>
      <w:r w:rsidR="00FC2655" w:rsidRPr="0059557E">
        <w:rPr>
          <w:rFonts w:cs="Arial"/>
          <w:b/>
          <w:bCs/>
          <w:sz w:val="16"/>
          <w:szCs w:val="16"/>
          <w:lang w:eastAsia="es-ES"/>
        </w:rPr>
        <w:t>numeral 1.</w:t>
      </w:r>
      <w:r w:rsidR="00D532CC" w:rsidRPr="0059557E">
        <w:rPr>
          <w:rFonts w:cs="Arial"/>
          <w:b/>
          <w:bCs/>
          <w:sz w:val="16"/>
          <w:szCs w:val="16"/>
          <w:lang w:eastAsia="es-ES"/>
        </w:rPr>
        <w:t>7</w:t>
      </w:r>
      <w:r w:rsidR="00FC2655" w:rsidRPr="0059557E">
        <w:rPr>
          <w:rFonts w:cs="Arial"/>
          <w:b/>
          <w:bCs/>
          <w:sz w:val="16"/>
          <w:szCs w:val="16"/>
          <w:lang w:eastAsia="es-ES"/>
        </w:rPr>
        <w:t xml:space="preserve"> del presente Anexo</w:t>
      </w:r>
      <w:r w:rsidRPr="0059557E">
        <w:rPr>
          <w:rFonts w:cs="Arial"/>
          <w:b/>
          <w:bCs/>
          <w:sz w:val="16"/>
          <w:szCs w:val="16"/>
          <w:lang w:eastAsia="es-ES"/>
        </w:rPr>
        <w:t xml:space="preserve">. </w:t>
      </w:r>
    </w:p>
    <w:p w14:paraId="3B9FE43A" w14:textId="77777777" w:rsidR="009F30D1" w:rsidRDefault="009F30D1" w:rsidP="009F30D1">
      <w:pPr>
        <w:widowControl w:val="0"/>
        <w:suppressLineNumbers/>
        <w:suppressAutoHyphens/>
        <w:ind w:left="1418" w:hanging="1418"/>
        <w:rPr>
          <w:rFonts w:cs="Arial"/>
          <w:sz w:val="16"/>
          <w:szCs w:val="16"/>
          <w:lang w:eastAsia="es-ES"/>
        </w:rPr>
      </w:pPr>
    </w:p>
    <w:p w14:paraId="4826FF32" w14:textId="55C5A311" w:rsidR="00042532" w:rsidRDefault="009F30D1" w:rsidP="009F30D1">
      <w:pPr>
        <w:widowControl w:val="0"/>
        <w:suppressLineNumbers/>
        <w:pBdr>
          <w:left w:val="single" w:sz="4" w:space="4" w:color="auto"/>
        </w:pBdr>
        <w:suppressAutoHyphens/>
        <w:ind w:left="1134" w:hanging="1134"/>
        <w:rPr>
          <w:rFonts w:cs="Arial"/>
          <w:sz w:val="16"/>
          <w:szCs w:val="16"/>
          <w:lang w:eastAsia="es-ES"/>
        </w:rPr>
        <w:sectPr w:rsidR="00042532" w:rsidSect="00094D90">
          <w:headerReference w:type="default" r:id="rId11"/>
          <w:footerReference w:type="default" r:id="rId12"/>
          <w:pgSz w:w="12242" w:h="18711" w:code="166"/>
          <w:pgMar w:top="1701" w:right="1701" w:bottom="1701" w:left="1701" w:header="680" w:footer="995" w:gutter="0"/>
          <w:paperSrc w:first="3" w:other="3"/>
          <w:pgNumType w:start="20"/>
          <w:cols w:space="720"/>
          <w:noEndnote/>
          <w:docGrid w:linePitch="326"/>
        </w:sectPr>
      </w:pPr>
      <w:r w:rsidRPr="00956C93">
        <w:rPr>
          <w:rFonts w:cs="Arial"/>
          <w:bCs/>
          <w:sz w:val="16"/>
          <w:szCs w:val="16"/>
          <w:lang w:eastAsia="es-ES"/>
        </w:rPr>
        <w:t xml:space="preserve">FC              </w:t>
      </w:r>
      <w:r w:rsidR="00444C6A" w:rsidRPr="00956C93">
        <w:rPr>
          <w:rFonts w:cs="Arial"/>
          <w:bCs/>
          <w:sz w:val="16"/>
          <w:szCs w:val="16"/>
          <w:lang w:eastAsia="es-ES"/>
        </w:rPr>
        <w:t xml:space="preserve">     </w:t>
      </w:r>
      <w:r w:rsidRPr="00956C93">
        <w:rPr>
          <w:rFonts w:cs="Arial"/>
          <w:bCs/>
          <w:sz w:val="16"/>
          <w:szCs w:val="16"/>
          <w:lang w:eastAsia="es-ES"/>
        </w:rPr>
        <w:t xml:space="preserve"> = Factor de Crédito. Es un porcentaje que refleja la variación máxima probable en el valor razonable de un instrumento financiero derivado, como consecuencia de variaciones en el valor del subyacente del contrato</w:t>
      </w:r>
      <w:r w:rsidR="003E312A" w:rsidRPr="00444C6A">
        <w:rPr>
          <w:rFonts w:cs="Arial"/>
          <w:b/>
          <w:bCs/>
          <w:sz w:val="16"/>
          <w:szCs w:val="16"/>
          <w:lang w:eastAsia="es-ES"/>
        </w:rPr>
        <w:t>. Su función es transformar el VNE de un contrato en</w:t>
      </w:r>
      <w:r w:rsidR="0049745C" w:rsidRPr="00444C6A">
        <w:rPr>
          <w:rFonts w:cs="Arial"/>
          <w:b/>
          <w:bCs/>
          <w:sz w:val="16"/>
          <w:szCs w:val="16"/>
          <w:lang w:eastAsia="es-ES"/>
        </w:rPr>
        <w:t xml:space="preserve"> cambios</w:t>
      </w:r>
      <w:r w:rsidR="003E312A" w:rsidRPr="00444C6A">
        <w:rPr>
          <w:rFonts w:cs="Arial"/>
          <w:b/>
          <w:bCs/>
          <w:sz w:val="16"/>
          <w:szCs w:val="16"/>
          <w:lang w:eastAsia="es-ES"/>
        </w:rPr>
        <w:t xml:space="preserve"> potenciales </w:t>
      </w:r>
      <w:r w:rsidR="0049745C" w:rsidRPr="00444C6A">
        <w:rPr>
          <w:rFonts w:cs="Arial"/>
          <w:b/>
          <w:bCs/>
          <w:sz w:val="16"/>
          <w:szCs w:val="16"/>
          <w:lang w:eastAsia="es-ES"/>
        </w:rPr>
        <w:t>de valoración</w:t>
      </w:r>
      <w:r w:rsidR="007C52FD" w:rsidRPr="00444C6A">
        <w:rPr>
          <w:rFonts w:cs="Arial"/>
          <w:b/>
          <w:bCs/>
          <w:sz w:val="16"/>
          <w:szCs w:val="16"/>
          <w:lang w:eastAsia="es-ES"/>
        </w:rPr>
        <w:t xml:space="preserve">, de acuerdo con las volatilidades observadas para cada subyacente. </w:t>
      </w:r>
      <w:r w:rsidRPr="00956C93">
        <w:rPr>
          <w:rFonts w:cs="Arial"/>
          <w:sz w:val="16"/>
          <w:szCs w:val="16"/>
          <w:lang w:eastAsia="es-ES"/>
        </w:rPr>
        <w:t>Su forma de cálculo se establece en el numeral 1.4 del presente Anexo.</w:t>
      </w:r>
    </w:p>
    <w:p w14:paraId="00035912" w14:textId="028C2AD6" w:rsidR="009F30D1" w:rsidRDefault="009F30D1" w:rsidP="00042532">
      <w:pPr>
        <w:widowControl w:val="0"/>
        <w:suppressLineNumbers/>
        <w:suppressAutoHyphens/>
        <w:ind w:left="1134" w:hanging="1134"/>
        <w:rPr>
          <w:rFonts w:cs="Arial"/>
          <w:sz w:val="16"/>
          <w:szCs w:val="16"/>
          <w:lang w:eastAsia="es-ES"/>
        </w:rPr>
      </w:pPr>
    </w:p>
    <w:p w14:paraId="472FFE1D" w14:textId="5FADEFE7" w:rsidR="00DE4209" w:rsidRDefault="004A2112" w:rsidP="00DE4209">
      <w:pPr>
        <w:tabs>
          <w:tab w:val="left" w:pos="851"/>
          <w:tab w:val="left" w:pos="1701"/>
        </w:tabs>
        <w:ind w:left="578" w:hanging="567"/>
        <w:rPr>
          <w:rFonts w:cs="Arial"/>
          <w:b/>
          <w:bCs/>
          <w:sz w:val="16"/>
          <w:szCs w:val="16"/>
          <w:lang w:val="es-ES"/>
        </w:rPr>
      </w:pPr>
      <w:r>
        <w:rPr>
          <w:rFonts w:cs="Arial"/>
          <w:noProof/>
          <w:sz w:val="16"/>
          <w:szCs w:val="16"/>
          <w:lang w:eastAsia="es-ES"/>
        </w:rPr>
        <mc:AlternateContent>
          <mc:Choice Requires="wps">
            <w:drawing>
              <wp:anchor distT="0" distB="0" distL="114300" distR="114300" simplePos="0" relativeHeight="251660288" behindDoc="0" locked="0" layoutInCell="1" allowOverlap="1" wp14:anchorId="01EFF65B" wp14:editId="7D295CF4">
                <wp:simplePos x="0" y="0"/>
                <wp:positionH relativeFrom="column">
                  <wp:posOffset>-67945</wp:posOffset>
                </wp:positionH>
                <wp:positionV relativeFrom="paragraph">
                  <wp:posOffset>113030</wp:posOffset>
                </wp:positionV>
                <wp:extent cx="0" cy="565150"/>
                <wp:effectExtent l="0" t="0" r="38100" b="25400"/>
                <wp:wrapNone/>
                <wp:docPr id="1" name="Conector recto 1"/>
                <wp:cNvGraphicFramePr/>
                <a:graphic xmlns:a="http://schemas.openxmlformats.org/drawingml/2006/main">
                  <a:graphicData uri="http://schemas.microsoft.com/office/word/2010/wordprocessingShape">
                    <wps:wsp>
                      <wps:cNvCnPr/>
                      <wps:spPr>
                        <a:xfrm>
                          <a:off x="0" y="0"/>
                          <a:ext cx="0" cy="565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87CCB0" id="Conector recto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35pt,8.9pt" to="-5.35pt,5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" strokecolor="black [3213]" strokeweight=".5pt">
                <v:stroke joinstyle="miter"/>
              </v:line>
            </w:pict>
          </mc:Fallback>
        </mc:AlternateContent>
      </w:r>
    </w:p>
    <w:p w14:paraId="43DD83FB" w14:textId="10D86871" w:rsidR="00DE4209" w:rsidRPr="00E478E2" w:rsidRDefault="00244A60" w:rsidP="00244A60">
      <w:pPr>
        <w:widowControl w:val="0"/>
        <w:suppressLineNumbers/>
        <w:suppressAutoHyphens/>
        <w:ind w:left="1137" w:hanging="1129"/>
        <w:rPr>
          <w:rFonts w:cs="Arial"/>
          <w:b/>
          <w:sz w:val="16"/>
          <w:szCs w:val="16"/>
          <w:lang w:eastAsia="es-ES"/>
        </w:rPr>
      </w:pPr>
      <w:r>
        <w:rPr>
          <w:rFonts w:cs="Arial"/>
          <w:sz w:val="16"/>
          <w:szCs w:val="16"/>
          <w:lang w:eastAsia="es-ES"/>
        </w:rPr>
        <w:t xml:space="preserve">                         </w:t>
      </w:r>
      <w:r w:rsidR="00DE4209" w:rsidRPr="00024997">
        <w:rPr>
          <w:rFonts w:cs="Arial"/>
          <w:b/>
          <w:sz w:val="16"/>
          <w:szCs w:val="16"/>
          <w:lang w:eastAsia="es-ES"/>
        </w:rPr>
        <w:t>Para instrumentos financiero</w:t>
      </w:r>
      <w:r w:rsidR="00D773AE" w:rsidRPr="00024997">
        <w:rPr>
          <w:rFonts w:cs="Arial"/>
          <w:b/>
          <w:sz w:val="16"/>
          <w:szCs w:val="16"/>
          <w:lang w:eastAsia="es-ES"/>
        </w:rPr>
        <w:t>s derivados</w:t>
      </w:r>
      <w:r w:rsidR="00DE4209" w:rsidRPr="00024997">
        <w:rPr>
          <w:rFonts w:cs="Arial"/>
          <w:b/>
          <w:sz w:val="16"/>
          <w:szCs w:val="16"/>
          <w:lang w:eastAsia="es-ES"/>
        </w:rPr>
        <w:t xml:space="preserve"> de transacción de base (</w:t>
      </w:r>
      <w:r w:rsidR="00DE4209" w:rsidRPr="00024997">
        <w:rPr>
          <w:rFonts w:cs="Arial"/>
          <w:b/>
          <w:i/>
          <w:sz w:val="16"/>
          <w:szCs w:val="16"/>
          <w:lang w:eastAsia="es-ES"/>
        </w:rPr>
        <w:t xml:space="preserve">basis </w:t>
      </w:r>
      <w:proofErr w:type="spellStart"/>
      <w:r w:rsidR="00DE4209" w:rsidRPr="00024997">
        <w:rPr>
          <w:rFonts w:cs="Arial"/>
          <w:b/>
          <w:i/>
          <w:sz w:val="16"/>
          <w:szCs w:val="16"/>
          <w:lang w:eastAsia="es-ES"/>
        </w:rPr>
        <w:t>transaction</w:t>
      </w:r>
      <w:proofErr w:type="spellEnd"/>
      <w:r w:rsidR="00DE4209" w:rsidRPr="00024997">
        <w:rPr>
          <w:rFonts w:cs="Arial"/>
          <w:b/>
          <w:sz w:val="16"/>
          <w:szCs w:val="16"/>
          <w:lang w:eastAsia="es-ES"/>
        </w:rPr>
        <w:t>)</w:t>
      </w:r>
      <w:r w:rsidR="00D773AE" w:rsidRPr="00024997">
        <w:rPr>
          <w:rFonts w:cs="Arial"/>
          <w:b/>
          <w:sz w:val="16"/>
          <w:szCs w:val="16"/>
          <w:lang w:eastAsia="es-ES"/>
        </w:rPr>
        <w:t xml:space="preserve"> el FC, calculado según el </w:t>
      </w:r>
      <w:r w:rsidR="00F10FAB">
        <w:rPr>
          <w:rFonts w:cs="Arial"/>
          <w:b/>
          <w:sz w:val="16"/>
          <w:szCs w:val="16"/>
          <w:lang w:eastAsia="es-ES"/>
        </w:rPr>
        <w:t>sub</w:t>
      </w:r>
      <w:r w:rsidR="00D773AE" w:rsidRPr="00024997">
        <w:rPr>
          <w:rFonts w:cs="Arial"/>
          <w:b/>
          <w:sz w:val="16"/>
          <w:szCs w:val="16"/>
          <w:lang w:eastAsia="es-ES"/>
        </w:rPr>
        <w:t>numeral 1.4, debe ser multiplicado por 0.5. Este tipo de instrumentos tienen</w:t>
      </w:r>
      <w:r w:rsidR="00DE4209" w:rsidRPr="00024997">
        <w:rPr>
          <w:rFonts w:cs="Arial"/>
          <w:b/>
          <w:sz w:val="16"/>
          <w:szCs w:val="16"/>
          <w:lang w:eastAsia="es-ES"/>
        </w:rPr>
        <w:t xml:space="preserve"> flujos denominados</w:t>
      </w:r>
      <w:r w:rsidR="001E6097" w:rsidRPr="00024997">
        <w:rPr>
          <w:rFonts w:cs="Arial"/>
          <w:b/>
          <w:sz w:val="16"/>
          <w:szCs w:val="16"/>
          <w:lang w:eastAsia="es-ES"/>
        </w:rPr>
        <w:t xml:space="preserve"> </w:t>
      </w:r>
      <w:r w:rsidR="00DE4209" w:rsidRPr="00024997">
        <w:rPr>
          <w:rFonts w:cs="Arial"/>
          <w:b/>
          <w:sz w:val="16"/>
          <w:szCs w:val="16"/>
          <w:lang w:eastAsia="es-ES"/>
        </w:rPr>
        <w:t>en la misma moneda</w:t>
      </w:r>
      <w:r w:rsidR="00255172">
        <w:rPr>
          <w:rFonts w:cs="Arial"/>
          <w:b/>
          <w:sz w:val="16"/>
          <w:szCs w:val="16"/>
          <w:lang w:eastAsia="es-ES"/>
        </w:rPr>
        <w:t>,</w:t>
      </w:r>
      <w:r w:rsidR="00DE4209" w:rsidRPr="00024997">
        <w:rPr>
          <w:rFonts w:cs="Arial"/>
          <w:b/>
          <w:sz w:val="16"/>
          <w:szCs w:val="16"/>
          <w:lang w:eastAsia="es-ES"/>
        </w:rPr>
        <w:t xml:space="preserve"> pero cada pata depende de </w:t>
      </w:r>
      <w:r w:rsidR="005D41EA" w:rsidRPr="00024997">
        <w:rPr>
          <w:rFonts w:cs="Arial"/>
          <w:b/>
          <w:sz w:val="16"/>
          <w:szCs w:val="16"/>
          <w:lang w:eastAsia="es-ES"/>
        </w:rPr>
        <w:t xml:space="preserve">diferentes </w:t>
      </w:r>
      <w:r w:rsidR="00004D1E" w:rsidRPr="00024997">
        <w:rPr>
          <w:rFonts w:cs="Arial"/>
          <w:b/>
          <w:sz w:val="16"/>
          <w:szCs w:val="16"/>
          <w:lang w:eastAsia="es-ES"/>
        </w:rPr>
        <w:t xml:space="preserve">variables de mercado </w:t>
      </w:r>
      <w:r w:rsidR="00BC3CB9" w:rsidRPr="00024997">
        <w:rPr>
          <w:rFonts w:cs="Arial"/>
          <w:b/>
          <w:sz w:val="16"/>
          <w:szCs w:val="16"/>
          <w:lang w:eastAsia="es-ES"/>
        </w:rPr>
        <w:t>del mismo tipo de subyacente</w:t>
      </w:r>
      <w:r w:rsidR="00DE4209" w:rsidRPr="00024997">
        <w:rPr>
          <w:rFonts w:cs="Arial"/>
          <w:b/>
          <w:sz w:val="16"/>
          <w:szCs w:val="16"/>
          <w:lang w:eastAsia="es-ES"/>
        </w:rPr>
        <w:t xml:space="preserve"> (</w:t>
      </w:r>
      <w:proofErr w:type="spellStart"/>
      <w:r w:rsidR="00DE4209" w:rsidRPr="00024997">
        <w:rPr>
          <w:rFonts w:cs="Arial"/>
          <w:b/>
          <w:sz w:val="16"/>
          <w:szCs w:val="16"/>
          <w:lang w:eastAsia="es-ES"/>
        </w:rPr>
        <w:t>ej</w:t>
      </w:r>
      <w:r w:rsidR="00091E4E">
        <w:rPr>
          <w:rFonts w:cs="Arial"/>
          <w:b/>
          <w:sz w:val="16"/>
          <w:szCs w:val="16"/>
          <w:lang w:eastAsia="es-ES"/>
        </w:rPr>
        <w:t>m</w:t>
      </w:r>
      <w:proofErr w:type="spellEnd"/>
      <w:r w:rsidR="00DE4209" w:rsidRPr="00024997">
        <w:rPr>
          <w:rFonts w:cs="Arial"/>
          <w:b/>
          <w:sz w:val="16"/>
          <w:szCs w:val="16"/>
          <w:lang w:eastAsia="es-ES"/>
        </w:rPr>
        <w:t>.</w:t>
      </w:r>
      <w:r w:rsidR="00D773AE" w:rsidRPr="00024997">
        <w:rPr>
          <w:rFonts w:cs="Arial"/>
          <w:b/>
          <w:sz w:val="16"/>
          <w:szCs w:val="16"/>
          <w:lang w:eastAsia="es-ES"/>
        </w:rPr>
        <w:t xml:space="preserve"> </w:t>
      </w:r>
      <w:r w:rsidR="00D773AE" w:rsidRPr="00244A60">
        <w:rPr>
          <w:rFonts w:cs="Arial"/>
          <w:b/>
          <w:i/>
          <w:sz w:val="16"/>
          <w:szCs w:val="16"/>
          <w:lang w:eastAsia="es-ES"/>
        </w:rPr>
        <w:t>basis</w:t>
      </w:r>
      <w:r w:rsidR="00DE4209" w:rsidRPr="00024997">
        <w:rPr>
          <w:rFonts w:cs="Arial"/>
          <w:b/>
          <w:i/>
          <w:sz w:val="16"/>
          <w:szCs w:val="16"/>
          <w:lang w:eastAsia="es-ES"/>
        </w:rPr>
        <w:t xml:space="preserve"> </w:t>
      </w:r>
      <w:r w:rsidR="00864868" w:rsidRPr="00024997">
        <w:rPr>
          <w:rFonts w:cs="Arial"/>
          <w:b/>
          <w:i/>
          <w:sz w:val="16"/>
          <w:szCs w:val="16"/>
          <w:lang w:eastAsia="es-ES"/>
        </w:rPr>
        <w:t>s</w:t>
      </w:r>
      <w:r w:rsidR="00DE4209" w:rsidRPr="00024997">
        <w:rPr>
          <w:rFonts w:cs="Arial"/>
          <w:b/>
          <w:i/>
          <w:sz w:val="16"/>
          <w:szCs w:val="16"/>
          <w:lang w:eastAsia="es-ES"/>
        </w:rPr>
        <w:t>waps</w:t>
      </w:r>
      <w:r w:rsidR="00DE4209" w:rsidRPr="00024997">
        <w:rPr>
          <w:rFonts w:cs="Arial"/>
          <w:b/>
          <w:sz w:val="16"/>
          <w:szCs w:val="16"/>
          <w:lang w:eastAsia="es-ES"/>
        </w:rPr>
        <w:t xml:space="preserve"> FFE</w:t>
      </w:r>
      <w:r w:rsidR="005E05F9">
        <w:rPr>
          <w:rFonts w:cs="Arial"/>
          <w:b/>
          <w:sz w:val="16"/>
          <w:szCs w:val="16"/>
          <w:lang w:eastAsia="es-ES"/>
        </w:rPr>
        <w:t>-</w:t>
      </w:r>
      <w:r w:rsidR="00DE4209" w:rsidRPr="00024997">
        <w:rPr>
          <w:rFonts w:cs="Arial"/>
          <w:b/>
          <w:sz w:val="16"/>
          <w:szCs w:val="16"/>
          <w:lang w:eastAsia="es-ES"/>
        </w:rPr>
        <w:t>SOFR</w:t>
      </w:r>
      <w:r w:rsidR="005D41EA" w:rsidRPr="00024997">
        <w:rPr>
          <w:rFonts w:cs="Arial"/>
          <w:b/>
          <w:sz w:val="16"/>
          <w:szCs w:val="16"/>
          <w:lang w:eastAsia="es-ES"/>
        </w:rPr>
        <w:t>,</w:t>
      </w:r>
      <w:r w:rsidR="001314E4">
        <w:rPr>
          <w:rFonts w:cs="Arial"/>
          <w:b/>
          <w:sz w:val="16"/>
          <w:szCs w:val="16"/>
          <w:lang w:eastAsia="es-ES"/>
        </w:rPr>
        <w:t xml:space="preserve"> </w:t>
      </w:r>
      <w:r w:rsidR="00F313BA">
        <w:rPr>
          <w:rFonts w:cs="Arial"/>
          <w:b/>
          <w:sz w:val="16"/>
          <w:szCs w:val="16"/>
          <w:lang w:eastAsia="es-ES"/>
        </w:rPr>
        <w:t>IBR</w:t>
      </w:r>
      <w:r w:rsidR="005E05F9">
        <w:rPr>
          <w:rFonts w:cs="Arial"/>
          <w:b/>
          <w:sz w:val="16"/>
          <w:szCs w:val="16"/>
          <w:lang w:eastAsia="es-ES"/>
        </w:rPr>
        <w:t>-</w:t>
      </w:r>
      <w:r w:rsidR="00F313BA">
        <w:rPr>
          <w:rFonts w:cs="Arial"/>
          <w:b/>
          <w:sz w:val="16"/>
          <w:szCs w:val="16"/>
          <w:lang w:eastAsia="es-ES"/>
        </w:rPr>
        <w:t>IPC</w:t>
      </w:r>
      <w:r w:rsidR="005E05F9">
        <w:rPr>
          <w:rFonts w:cs="Arial"/>
          <w:b/>
          <w:sz w:val="16"/>
          <w:szCs w:val="16"/>
          <w:lang w:eastAsia="es-ES"/>
        </w:rPr>
        <w:t>,</w:t>
      </w:r>
      <w:r w:rsidR="005C6822">
        <w:rPr>
          <w:rFonts w:cs="Arial"/>
          <w:b/>
          <w:sz w:val="16"/>
          <w:szCs w:val="16"/>
          <w:lang w:eastAsia="es-ES"/>
        </w:rPr>
        <w:t xml:space="preserve"> entre otros,</w:t>
      </w:r>
      <w:r w:rsidR="005D41EA" w:rsidRPr="00024997">
        <w:rPr>
          <w:rFonts w:cs="Arial"/>
          <w:b/>
          <w:sz w:val="16"/>
          <w:szCs w:val="16"/>
          <w:lang w:eastAsia="es-ES"/>
        </w:rPr>
        <w:t xml:space="preserve"> cuyos flujos dependen de dos tasas de interés distintas</w:t>
      </w:r>
      <w:r w:rsidR="00DE4209" w:rsidRPr="00024997">
        <w:rPr>
          <w:rFonts w:cs="Arial"/>
          <w:b/>
          <w:sz w:val="16"/>
          <w:szCs w:val="16"/>
          <w:lang w:eastAsia="es-ES"/>
        </w:rPr>
        <w:t xml:space="preserve">). </w:t>
      </w:r>
    </w:p>
    <w:p w14:paraId="3FA5B0E7" w14:textId="247A9A5F" w:rsidR="009F30D1" w:rsidRPr="00E478E2" w:rsidRDefault="009F30D1" w:rsidP="00E478E2">
      <w:pPr>
        <w:jc w:val="left"/>
        <w:rPr>
          <w:rFonts w:cs="Arial"/>
          <w:color w:val="000000"/>
          <w:sz w:val="16"/>
          <w:szCs w:val="16"/>
          <w:lang w:val="es-ES" w:eastAsia="es-ES"/>
        </w:rPr>
      </w:pPr>
    </w:p>
    <w:p w14:paraId="528068CE" w14:textId="77777777" w:rsidR="009F30D1" w:rsidRPr="004835F8" w:rsidRDefault="009F30D1" w:rsidP="004835F8">
      <w:pPr>
        <w:jc w:val="left"/>
        <w:rPr>
          <w:rFonts w:cs="Arial"/>
          <w:bCs/>
          <w:sz w:val="16"/>
          <w:szCs w:val="16"/>
          <w:lang w:eastAsia="es-ES"/>
        </w:rPr>
      </w:pPr>
      <w:r w:rsidRPr="004835F8">
        <w:rPr>
          <w:rFonts w:cs="Arial"/>
          <w:bCs/>
          <w:sz w:val="16"/>
          <w:szCs w:val="16"/>
          <w:u w:val="single"/>
          <w:lang w:eastAsia="es-ES"/>
        </w:rPr>
        <w:t>MG</w:t>
      </w:r>
      <w:r w:rsidRPr="004835F8">
        <w:rPr>
          <w:rFonts w:cs="Arial"/>
          <w:bCs/>
          <w:sz w:val="16"/>
          <w:szCs w:val="16"/>
          <w:lang w:eastAsia="es-ES"/>
        </w:rPr>
        <w:t xml:space="preserve"> = Multiplicador por Garantías. Se define como:</w:t>
      </w:r>
    </w:p>
    <w:p w14:paraId="23418D57" w14:textId="77777777" w:rsidR="009F30D1" w:rsidRPr="004835F8" w:rsidRDefault="009F30D1" w:rsidP="004835F8">
      <w:pPr>
        <w:jc w:val="left"/>
        <w:rPr>
          <w:rFonts w:cs="Arial"/>
          <w:bCs/>
          <w:sz w:val="16"/>
          <w:szCs w:val="16"/>
          <w:lang w:eastAsia="es-ES"/>
        </w:rPr>
      </w:pPr>
    </w:p>
    <w:p w14:paraId="24D808AA" w14:textId="77777777" w:rsidR="009F30D1" w:rsidRPr="004835F8" w:rsidRDefault="009F30D1" w:rsidP="004835F8">
      <w:pPr>
        <w:tabs>
          <w:tab w:val="left" w:pos="851"/>
          <w:tab w:val="left" w:pos="1701"/>
        </w:tabs>
        <w:jc w:val="center"/>
        <w:rPr>
          <w:rFonts w:cs="Arial"/>
          <w:bCs/>
          <w:sz w:val="18"/>
          <w:szCs w:val="16"/>
          <w:lang w:val="pt-BR" w:eastAsia="es-ES"/>
        </w:rPr>
      </w:pPr>
      <w:r w:rsidRPr="004835F8">
        <w:rPr>
          <w:rFonts w:cs="Arial"/>
          <w:bCs/>
          <w:sz w:val="18"/>
          <w:szCs w:val="16"/>
          <w:lang w:val="pt-BR" w:eastAsia="es-ES"/>
        </w:rPr>
        <w:t xml:space="preserve">MG = min {1, 0.05 + [0.95 * </w:t>
      </w:r>
      <w:proofErr w:type="spellStart"/>
      <w:r w:rsidRPr="004835F8">
        <w:rPr>
          <w:rFonts w:cs="Arial"/>
          <w:bCs/>
          <w:sz w:val="18"/>
          <w:szCs w:val="16"/>
          <w:lang w:val="pt-BR" w:eastAsia="es-ES"/>
        </w:rPr>
        <w:t>exp</w:t>
      </w:r>
      <w:proofErr w:type="spellEnd"/>
      <w:r w:rsidRPr="004835F8">
        <w:rPr>
          <w:rFonts w:cs="Arial"/>
          <w:bCs/>
          <w:sz w:val="18"/>
          <w:szCs w:val="16"/>
          <w:lang w:val="pt-BR" w:eastAsia="es-ES"/>
        </w:rPr>
        <w:t xml:space="preserve"> ((VR-C) / (1.9 * EPF))]}, donde:</w:t>
      </w:r>
    </w:p>
    <w:p w14:paraId="0ED1353B" w14:textId="77777777" w:rsidR="009F30D1" w:rsidRPr="004835F8" w:rsidRDefault="009F30D1" w:rsidP="004835F8">
      <w:pPr>
        <w:tabs>
          <w:tab w:val="left" w:pos="851"/>
          <w:tab w:val="left" w:pos="1701"/>
        </w:tabs>
        <w:jc w:val="center"/>
        <w:rPr>
          <w:rFonts w:cs="Arial"/>
          <w:bCs/>
          <w:sz w:val="18"/>
          <w:szCs w:val="16"/>
          <w:lang w:val="pt-BR" w:eastAsia="es-ES"/>
        </w:rPr>
      </w:pPr>
    </w:p>
    <w:p w14:paraId="0AF3D940" w14:textId="7A03E35D" w:rsidR="009F30D1" w:rsidRPr="004835F8" w:rsidRDefault="009F30D1" w:rsidP="004835F8">
      <w:pPr>
        <w:tabs>
          <w:tab w:val="left" w:pos="851"/>
          <w:tab w:val="left" w:pos="1701"/>
        </w:tabs>
        <w:ind w:left="1134" w:hanging="1134"/>
        <w:rPr>
          <w:rFonts w:cs="Arial"/>
          <w:bCs/>
          <w:sz w:val="16"/>
          <w:szCs w:val="16"/>
          <w:lang w:eastAsia="es-ES"/>
        </w:rPr>
      </w:pPr>
      <w:r w:rsidRPr="004835F8">
        <w:rPr>
          <w:rFonts w:cs="Arial"/>
          <w:bCs/>
          <w:sz w:val="16"/>
          <w:szCs w:val="16"/>
          <w:lang w:eastAsia="es-ES"/>
        </w:rPr>
        <w:t xml:space="preserve">VR                 </w:t>
      </w:r>
      <w:r w:rsidRPr="004835F8">
        <w:rPr>
          <w:rFonts w:cs="Arial"/>
          <w:bCs/>
          <w:sz w:val="16"/>
          <w:szCs w:val="16"/>
          <w:lang w:eastAsia="es-ES"/>
        </w:rPr>
        <w:tab/>
        <w:t>= Valor razonable del instrumento financiero derivado</w:t>
      </w:r>
      <w:r w:rsidR="00A00B1D">
        <w:rPr>
          <w:rFonts w:cs="Arial"/>
          <w:bCs/>
          <w:sz w:val="16"/>
          <w:szCs w:val="16"/>
          <w:lang w:eastAsia="es-ES"/>
        </w:rPr>
        <w:t>.</w:t>
      </w:r>
    </w:p>
    <w:p w14:paraId="47E2244C" w14:textId="77777777" w:rsidR="009F30D1" w:rsidRPr="004835F8" w:rsidRDefault="009F30D1" w:rsidP="004835F8">
      <w:pPr>
        <w:tabs>
          <w:tab w:val="left" w:pos="851"/>
          <w:tab w:val="left" w:pos="1701"/>
        </w:tabs>
        <w:ind w:left="1134" w:hanging="1134"/>
        <w:rPr>
          <w:rFonts w:cs="Arial"/>
          <w:bCs/>
          <w:sz w:val="16"/>
          <w:szCs w:val="16"/>
          <w:lang w:eastAsia="es-ES"/>
        </w:rPr>
      </w:pPr>
    </w:p>
    <w:p w14:paraId="49974C5A" w14:textId="77777777" w:rsidR="009F30D1" w:rsidRPr="004835F8" w:rsidRDefault="009F30D1" w:rsidP="004835F8">
      <w:pPr>
        <w:tabs>
          <w:tab w:val="left" w:pos="851"/>
          <w:tab w:val="left" w:pos="1701"/>
        </w:tabs>
        <w:ind w:left="1134" w:hanging="1134"/>
        <w:rPr>
          <w:rFonts w:cs="Arial"/>
          <w:bCs/>
          <w:sz w:val="16"/>
          <w:szCs w:val="16"/>
          <w:lang w:eastAsia="es-ES"/>
        </w:rPr>
      </w:pPr>
      <w:r w:rsidRPr="004835F8">
        <w:rPr>
          <w:rFonts w:cs="Arial"/>
          <w:bCs/>
          <w:sz w:val="16"/>
          <w:szCs w:val="16"/>
          <w:lang w:eastAsia="es-ES"/>
        </w:rPr>
        <w:t xml:space="preserve">C                 </w:t>
      </w:r>
      <w:r w:rsidRPr="004835F8">
        <w:rPr>
          <w:rFonts w:cs="Arial"/>
          <w:bCs/>
          <w:sz w:val="16"/>
          <w:szCs w:val="16"/>
          <w:lang w:eastAsia="es-ES"/>
        </w:rPr>
        <w:tab/>
        <w:t>= Valor razonable de las garantías netas admisibles ponderadas por el ‘</w:t>
      </w:r>
      <w:proofErr w:type="spellStart"/>
      <w:r w:rsidRPr="004835F8">
        <w:rPr>
          <w:rFonts w:cs="Arial"/>
          <w:bCs/>
          <w:sz w:val="16"/>
          <w:szCs w:val="16"/>
          <w:lang w:eastAsia="es-ES"/>
        </w:rPr>
        <w:t>haircut</w:t>
      </w:r>
      <w:proofErr w:type="spellEnd"/>
      <w:r w:rsidRPr="004835F8">
        <w:rPr>
          <w:rFonts w:cs="Arial"/>
          <w:bCs/>
          <w:sz w:val="16"/>
          <w:szCs w:val="16"/>
          <w:lang w:eastAsia="es-ES"/>
        </w:rPr>
        <w:t>’ aplicable según el tipo de activo, de acuerdo con la tabla contenida en el numeral 1.3 del presente Anexo.</w:t>
      </w:r>
    </w:p>
    <w:p w14:paraId="4C59033E" w14:textId="77777777" w:rsidR="009F30D1" w:rsidRPr="004835F8" w:rsidRDefault="009F30D1" w:rsidP="004835F8">
      <w:pPr>
        <w:tabs>
          <w:tab w:val="left" w:pos="851"/>
          <w:tab w:val="left" w:pos="1701"/>
        </w:tabs>
        <w:ind w:left="1134" w:hanging="1134"/>
        <w:rPr>
          <w:rFonts w:cs="Arial"/>
          <w:bCs/>
          <w:sz w:val="16"/>
          <w:szCs w:val="16"/>
          <w:lang w:eastAsia="es-ES"/>
        </w:rPr>
      </w:pPr>
    </w:p>
    <w:p w14:paraId="0DDE469B" w14:textId="77777777" w:rsidR="009F30D1" w:rsidRPr="004835F8" w:rsidRDefault="009F30D1" w:rsidP="004835F8">
      <w:pPr>
        <w:jc w:val="left"/>
        <w:rPr>
          <w:rFonts w:cs="Arial"/>
          <w:bCs/>
          <w:sz w:val="16"/>
          <w:szCs w:val="16"/>
          <w:lang w:eastAsia="es-ES"/>
        </w:rPr>
      </w:pPr>
      <w:r w:rsidRPr="004835F8">
        <w:rPr>
          <w:rFonts w:cs="Arial"/>
          <w:bCs/>
          <w:sz w:val="16"/>
          <w:szCs w:val="16"/>
          <w:lang w:eastAsia="es-ES"/>
        </w:rPr>
        <w:t xml:space="preserve">EPF                 </w:t>
      </w:r>
      <w:r w:rsidRPr="004835F8">
        <w:rPr>
          <w:rFonts w:cs="Arial"/>
          <w:bCs/>
          <w:sz w:val="16"/>
          <w:szCs w:val="16"/>
          <w:lang w:eastAsia="es-ES"/>
        </w:rPr>
        <w:tab/>
        <w:t xml:space="preserve"> = Valor de la Exposición Potencial Futura, en caso de que esta sea diferente de cero.</w:t>
      </w:r>
    </w:p>
    <w:p w14:paraId="23475D0F" w14:textId="77777777" w:rsidR="009F30D1" w:rsidRPr="004835F8" w:rsidRDefault="009F30D1" w:rsidP="004835F8">
      <w:pPr>
        <w:jc w:val="left"/>
        <w:rPr>
          <w:rFonts w:cs="Arial"/>
          <w:bCs/>
          <w:sz w:val="16"/>
          <w:szCs w:val="16"/>
          <w:lang w:eastAsia="es-ES"/>
        </w:rPr>
      </w:pPr>
    </w:p>
    <w:p w14:paraId="03C9DD7F" w14:textId="77777777" w:rsidR="009F30D1" w:rsidRPr="004835F8" w:rsidRDefault="009F30D1" w:rsidP="004835F8">
      <w:pPr>
        <w:jc w:val="left"/>
        <w:rPr>
          <w:rFonts w:cs="Arial"/>
          <w:bCs/>
          <w:sz w:val="16"/>
          <w:szCs w:val="16"/>
          <w:lang w:eastAsia="es-ES"/>
        </w:rPr>
      </w:pPr>
      <w:proofErr w:type="spellStart"/>
      <w:r w:rsidRPr="004835F8">
        <w:rPr>
          <w:rFonts w:cs="Arial"/>
          <w:bCs/>
          <w:sz w:val="16"/>
          <w:szCs w:val="16"/>
          <w:lang w:eastAsia="es-ES"/>
        </w:rPr>
        <w:t>Exp</w:t>
      </w:r>
      <w:proofErr w:type="spellEnd"/>
      <w:r w:rsidRPr="004835F8">
        <w:rPr>
          <w:rFonts w:cs="Arial"/>
          <w:bCs/>
          <w:sz w:val="16"/>
          <w:szCs w:val="16"/>
          <w:lang w:eastAsia="es-ES"/>
        </w:rPr>
        <w:t xml:space="preserve"> (x)             = Función exponencial </w:t>
      </w:r>
      <w:r w:rsidRPr="004835F8">
        <w:rPr>
          <w:rFonts w:cs="Arial"/>
          <w:bCs/>
          <w:i/>
          <w:sz w:val="16"/>
          <w:szCs w:val="16"/>
          <w:lang w:eastAsia="es-ES"/>
        </w:rPr>
        <w:t>e^</w:t>
      </w:r>
      <w:r w:rsidRPr="004835F8">
        <w:rPr>
          <w:rFonts w:cs="Arial"/>
          <w:bCs/>
          <w:sz w:val="16"/>
          <w:szCs w:val="16"/>
          <w:lang w:eastAsia="es-ES"/>
        </w:rPr>
        <w:t>(x)</w:t>
      </w:r>
    </w:p>
    <w:p w14:paraId="72430AD4" w14:textId="77777777" w:rsidR="009F30D1" w:rsidRPr="008E3B42" w:rsidRDefault="009F30D1" w:rsidP="009F30D1">
      <w:pPr>
        <w:jc w:val="left"/>
        <w:rPr>
          <w:rFonts w:cs="Arial"/>
          <w:b/>
          <w:sz w:val="16"/>
          <w:szCs w:val="16"/>
          <w:lang w:eastAsia="es-ES"/>
        </w:rPr>
      </w:pPr>
    </w:p>
    <w:p w14:paraId="110361FA" w14:textId="77777777" w:rsidR="009F30D1" w:rsidRPr="00B151C0" w:rsidRDefault="009F30D1" w:rsidP="009F30D1">
      <w:pPr>
        <w:pStyle w:val="Ttulo2"/>
        <w:spacing w:before="0" w:after="0"/>
        <w:rPr>
          <w:rFonts w:cs="Arial"/>
          <w:sz w:val="16"/>
          <w:szCs w:val="16"/>
          <w:lang w:eastAsia="es-ES"/>
        </w:rPr>
      </w:pPr>
      <w:bookmarkStart w:id="6" w:name="_Toc3399972"/>
      <w:r w:rsidRPr="00B151C0">
        <w:rPr>
          <w:rFonts w:cs="Arial"/>
          <w:sz w:val="16"/>
          <w:szCs w:val="16"/>
          <w:lang w:eastAsia="es-ES"/>
        </w:rPr>
        <w:t xml:space="preserve">1.2. </w:t>
      </w:r>
      <w:r>
        <w:rPr>
          <w:rFonts w:cs="Arial"/>
          <w:sz w:val="16"/>
          <w:szCs w:val="16"/>
          <w:lang w:eastAsia="es-ES"/>
        </w:rPr>
        <w:t>EC</w:t>
      </w:r>
      <w:r w:rsidRPr="00B151C0">
        <w:rPr>
          <w:rFonts w:cs="Arial"/>
          <w:sz w:val="16"/>
          <w:szCs w:val="16"/>
          <w:lang w:eastAsia="es-ES"/>
        </w:rPr>
        <w:t xml:space="preserve"> cuando se ha pactado compensación de instrumentos financieros derivados con la contraparte</w:t>
      </w:r>
      <w:bookmarkEnd w:id="6"/>
    </w:p>
    <w:p w14:paraId="49D26A25" w14:textId="77777777" w:rsidR="009F30D1" w:rsidRPr="00B151C0" w:rsidRDefault="009F30D1" w:rsidP="009F30D1">
      <w:pPr>
        <w:tabs>
          <w:tab w:val="left" w:pos="851"/>
          <w:tab w:val="left" w:pos="1701"/>
        </w:tabs>
        <w:rPr>
          <w:rFonts w:cs="Arial"/>
          <w:sz w:val="16"/>
          <w:szCs w:val="16"/>
          <w:lang w:eastAsia="es-ES"/>
        </w:rPr>
      </w:pPr>
    </w:p>
    <w:p w14:paraId="283EDB5E" w14:textId="77777777" w:rsidR="009F30D1" w:rsidRPr="00993828" w:rsidRDefault="009F30D1" w:rsidP="00993828">
      <w:pPr>
        <w:tabs>
          <w:tab w:val="left" w:pos="851"/>
          <w:tab w:val="left" w:pos="1701"/>
        </w:tabs>
        <w:rPr>
          <w:rFonts w:cs="Arial"/>
          <w:sz w:val="16"/>
          <w:szCs w:val="16"/>
          <w:lang w:eastAsia="es-ES"/>
        </w:rPr>
      </w:pPr>
      <w:r w:rsidRPr="00993828">
        <w:rPr>
          <w:rFonts w:cs="Arial"/>
          <w:sz w:val="16"/>
          <w:szCs w:val="16"/>
          <w:lang w:eastAsia="es-ES"/>
        </w:rPr>
        <w:t xml:space="preserve">Cuando la entidad haya pactado con una contraparte un acuerdo de compensación de instrumentos financieros derivados, vale decir que se contemple la posibilidad </w:t>
      </w:r>
      <w:r w:rsidRPr="00993828">
        <w:rPr>
          <w:rFonts w:cs="Arial"/>
          <w:sz w:val="16"/>
          <w:szCs w:val="16"/>
        </w:rPr>
        <w:t>jurídica de compensar obligaciones con derivados</w:t>
      </w:r>
      <w:r w:rsidRPr="00993828">
        <w:rPr>
          <w:rFonts w:cs="Arial"/>
          <w:sz w:val="16"/>
          <w:szCs w:val="16"/>
          <w:lang w:eastAsia="es-ES"/>
        </w:rPr>
        <w:t xml:space="preserve">, sujeto a las restricciones que contempla la ley, la EC del portafolio de instrumentos financieros derivados con dicha contraparte debe calcularse </w:t>
      </w:r>
      <w:proofErr w:type="gramStart"/>
      <w:r w:rsidRPr="00993828">
        <w:rPr>
          <w:rFonts w:cs="Arial"/>
          <w:sz w:val="16"/>
          <w:szCs w:val="16"/>
          <w:lang w:eastAsia="es-ES"/>
        </w:rPr>
        <w:t>de acuerdo a</w:t>
      </w:r>
      <w:proofErr w:type="gramEnd"/>
      <w:r w:rsidRPr="00993828">
        <w:rPr>
          <w:rFonts w:cs="Arial"/>
          <w:sz w:val="16"/>
          <w:szCs w:val="16"/>
          <w:lang w:eastAsia="es-ES"/>
        </w:rPr>
        <w:t xml:space="preserve"> las instrucciones contenidas en el presente subnumeral.</w:t>
      </w:r>
    </w:p>
    <w:p w14:paraId="0E727B65" w14:textId="77777777" w:rsidR="009F30D1" w:rsidRDefault="009F30D1" w:rsidP="009F30D1">
      <w:pPr>
        <w:tabs>
          <w:tab w:val="left" w:pos="851"/>
          <w:tab w:val="left" w:pos="1701"/>
        </w:tabs>
        <w:rPr>
          <w:rFonts w:cs="Arial"/>
          <w:sz w:val="16"/>
          <w:szCs w:val="16"/>
          <w:lang w:eastAsia="es-ES"/>
        </w:rPr>
      </w:pPr>
    </w:p>
    <w:p w14:paraId="380A2FC4" w14:textId="0FAABC21" w:rsidR="009F30D1" w:rsidRPr="003B3041" w:rsidRDefault="009F30D1" w:rsidP="009F30D1">
      <w:pPr>
        <w:tabs>
          <w:tab w:val="left" w:pos="851"/>
          <w:tab w:val="left" w:pos="1701"/>
        </w:tabs>
        <w:rPr>
          <w:rFonts w:cs="Arial"/>
          <w:bCs/>
          <w:sz w:val="16"/>
          <w:szCs w:val="16"/>
          <w:lang w:eastAsia="es-ES"/>
        </w:rPr>
      </w:pPr>
      <w:r w:rsidRPr="002B3F72">
        <w:rPr>
          <w:rFonts w:cs="Arial"/>
          <w:bCs/>
          <w:sz w:val="16"/>
          <w:szCs w:val="16"/>
        </w:rPr>
        <w:t xml:space="preserve">En el caso que el portafolio de instrumentos financieros derivados cubierto por un acuerdo de compensación esté sujeto a más de un acuerdo de intercambio de garantías, o contenga operaciones no sujetas a intercambio de garantías, la EC se debe calcular a nivel de cada </w:t>
      </w:r>
      <w:proofErr w:type="spellStart"/>
      <w:r w:rsidRPr="002B3F72">
        <w:rPr>
          <w:rFonts w:cs="Arial"/>
          <w:bCs/>
          <w:sz w:val="16"/>
          <w:szCs w:val="16"/>
        </w:rPr>
        <w:t>sub-portafolio</w:t>
      </w:r>
      <w:proofErr w:type="spellEnd"/>
      <w:r w:rsidRPr="002B3F72">
        <w:rPr>
          <w:rFonts w:cs="Arial"/>
          <w:bCs/>
          <w:sz w:val="16"/>
          <w:szCs w:val="16"/>
        </w:rPr>
        <w:t xml:space="preserve"> conformado por las operaciones cubiertas por cada acuerdo de intercambio de garantías y otro conformado por las operaciones no cubiertas por acuerdos de intercambio de garantías. </w:t>
      </w:r>
    </w:p>
    <w:p w14:paraId="79D754CE" w14:textId="77777777" w:rsidR="009F30D1" w:rsidRPr="00B151C0" w:rsidRDefault="009F30D1" w:rsidP="009F30D1">
      <w:pPr>
        <w:tabs>
          <w:tab w:val="left" w:pos="851"/>
          <w:tab w:val="left" w:pos="1701"/>
        </w:tabs>
        <w:rPr>
          <w:rFonts w:cs="Arial"/>
          <w:sz w:val="16"/>
          <w:szCs w:val="16"/>
          <w:lang w:eastAsia="es-ES"/>
        </w:rPr>
      </w:pPr>
    </w:p>
    <w:p w14:paraId="54DD6489" w14:textId="77777777" w:rsidR="009F30D1" w:rsidRPr="00615D21" w:rsidRDefault="009F30D1" w:rsidP="006844A1">
      <w:pPr>
        <w:tabs>
          <w:tab w:val="left" w:pos="851"/>
          <w:tab w:val="left" w:pos="1701"/>
        </w:tabs>
        <w:jc w:val="center"/>
        <w:rPr>
          <w:rFonts w:cs="Arial"/>
          <w:bCs/>
          <w:sz w:val="18"/>
          <w:szCs w:val="16"/>
          <w:lang w:val="pt-BR" w:eastAsia="es-ES"/>
        </w:rPr>
      </w:pPr>
      <w:proofErr w:type="spellStart"/>
      <w:r w:rsidRPr="00615D21">
        <w:rPr>
          <w:rFonts w:cs="Arial"/>
          <w:bCs/>
          <w:sz w:val="18"/>
          <w:szCs w:val="16"/>
          <w:lang w:val="pt-BR" w:eastAsia="es-ES"/>
        </w:rPr>
        <w:t>EC</w:t>
      </w:r>
      <w:r w:rsidRPr="00615D21">
        <w:rPr>
          <w:rFonts w:cs="Arial"/>
          <w:bCs/>
          <w:sz w:val="18"/>
          <w:szCs w:val="16"/>
          <w:vertAlign w:val="subscript"/>
          <w:lang w:val="pt-BR" w:eastAsia="es-ES"/>
        </w:rPr>
        <w:t>p</w:t>
      </w:r>
      <w:proofErr w:type="spellEnd"/>
      <w:r w:rsidRPr="00615D21">
        <w:rPr>
          <w:rFonts w:cs="Arial"/>
          <w:bCs/>
          <w:sz w:val="18"/>
          <w:szCs w:val="16"/>
          <w:lang w:val="pt-BR" w:eastAsia="es-ES"/>
        </w:rPr>
        <w:t xml:space="preserve"> = </w:t>
      </w:r>
      <w:r w:rsidRPr="00615D21">
        <w:rPr>
          <w:rFonts w:cs="Arial"/>
          <w:bCs/>
          <w:sz w:val="18"/>
          <w:szCs w:val="16"/>
          <w:lang w:eastAsia="es-ES"/>
        </w:rPr>
        <w:t>FA * [</w:t>
      </w:r>
      <w:r w:rsidRPr="00615D21">
        <w:rPr>
          <w:rFonts w:cs="Arial"/>
          <w:bCs/>
          <w:sz w:val="18"/>
          <w:szCs w:val="16"/>
          <w:lang w:val="pt-BR" w:eastAsia="es-ES"/>
        </w:rPr>
        <w:t>CR</w:t>
      </w:r>
      <w:r w:rsidRPr="00615D21">
        <w:rPr>
          <w:rFonts w:cs="Arial"/>
          <w:bCs/>
          <w:sz w:val="18"/>
          <w:szCs w:val="16"/>
          <w:vertAlign w:val="subscript"/>
          <w:lang w:val="pt-BR" w:eastAsia="es-ES"/>
        </w:rPr>
        <w:t>p</w:t>
      </w:r>
      <w:r w:rsidRPr="00615D21">
        <w:rPr>
          <w:rFonts w:cs="Arial"/>
          <w:bCs/>
          <w:sz w:val="18"/>
          <w:szCs w:val="16"/>
          <w:lang w:val="pt-BR" w:eastAsia="es-ES"/>
        </w:rPr>
        <w:t xml:space="preserve"> + </w:t>
      </w:r>
      <w:proofErr w:type="gramStart"/>
      <w:r w:rsidRPr="00615D21">
        <w:rPr>
          <w:rFonts w:cs="Arial"/>
          <w:bCs/>
          <w:sz w:val="18"/>
          <w:szCs w:val="16"/>
          <w:lang w:val="pt-BR" w:eastAsia="es-ES"/>
        </w:rPr>
        <w:t xml:space="preserve">( </w:t>
      </w:r>
      <w:proofErr w:type="spellStart"/>
      <w:r w:rsidRPr="00615D21">
        <w:rPr>
          <w:rFonts w:cs="Arial"/>
          <w:bCs/>
          <w:sz w:val="18"/>
          <w:szCs w:val="16"/>
          <w:lang w:val="pt-BR" w:eastAsia="es-ES"/>
        </w:rPr>
        <w:t>MG</w:t>
      </w:r>
      <w:r w:rsidRPr="00615D21">
        <w:rPr>
          <w:rFonts w:cs="Arial"/>
          <w:bCs/>
          <w:sz w:val="18"/>
          <w:szCs w:val="16"/>
          <w:vertAlign w:val="subscript"/>
          <w:lang w:val="pt-BR" w:eastAsia="es-ES"/>
        </w:rPr>
        <w:t>p</w:t>
      </w:r>
      <w:proofErr w:type="spellEnd"/>
      <w:proofErr w:type="gramEnd"/>
      <w:r w:rsidRPr="00615D21">
        <w:rPr>
          <w:rFonts w:cs="Arial"/>
          <w:bCs/>
          <w:sz w:val="18"/>
          <w:szCs w:val="16"/>
          <w:lang w:val="pt-BR" w:eastAsia="es-ES"/>
        </w:rPr>
        <w:t xml:space="preserve"> * </w:t>
      </w:r>
      <w:proofErr w:type="spellStart"/>
      <w:r w:rsidRPr="00615D21">
        <w:rPr>
          <w:rFonts w:cs="Arial"/>
          <w:bCs/>
          <w:sz w:val="18"/>
          <w:szCs w:val="16"/>
          <w:lang w:val="pt-BR" w:eastAsia="es-ES"/>
        </w:rPr>
        <w:t>EPF</w:t>
      </w:r>
      <w:r w:rsidRPr="00615D21">
        <w:rPr>
          <w:rFonts w:cs="Arial"/>
          <w:bCs/>
          <w:sz w:val="18"/>
          <w:szCs w:val="16"/>
          <w:vertAlign w:val="subscript"/>
          <w:lang w:val="pt-BR" w:eastAsia="es-ES"/>
        </w:rPr>
        <w:t>p</w:t>
      </w:r>
      <w:proofErr w:type="spellEnd"/>
      <w:r w:rsidRPr="00615D21">
        <w:rPr>
          <w:rFonts w:cs="Arial"/>
          <w:bCs/>
          <w:sz w:val="18"/>
          <w:szCs w:val="16"/>
          <w:vertAlign w:val="subscript"/>
          <w:lang w:val="pt-BR" w:eastAsia="es-ES"/>
        </w:rPr>
        <w:t xml:space="preserve"> </w:t>
      </w:r>
      <w:r w:rsidRPr="00615D21">
        <w:rPr>
          <w:rFonts w:cs="Arial"/>
          <w:bCs/>
          <w:sz w:val="18"/>
          <w:szCs w:val="16"/>
          <w:lang w:val="pt-BR" w:eastAsia="es-ES"/>
        </w:rPr>
        <w:t>) ], donde:</w:t>
      </w:r>
    </w:p>
    <w:p w14:paraId="4C66C5CB" w14:textId="77777777" w:rsidR="009F30D1" w:rsidRPr="00615D21" w:rsidRDefault="009F30D1" w:rsidP="006844A1">
      <w:pPr>
        <w:tabs>
          <w:tab w:val="left" w:pos="851"/>
          <w:tab w:val="left" w:pos="1701"/>
        </w:tabs>
        <w:jc w:val="center"/>
        <w:rPr>
          <w:rFonts w:cs="Arial"/>
          <w:bCs/>
          <w:sz w:val="18"/>
          <w:szCs w:val="16"/>
          <w:lang w:val="pt-BR" w:eastAsia="es-ES"/>
        </w:rPr>
      </w:pPr>
    </w:p>
    <w:p w14:paraId="1DBED769" w14:textId="77777777" w:rsidR="009F30D1" w:rsidRPr="00615D21" w:rsidRDefault="009F30D1" w:rsidP="006844A1">
      <w:pPr>
        <w:tabs>
          <w:tab w:val="left" w:pos="851"/>
          <w:tab w:val="left" w:pos="1701"/>
        </w:tabs>
        <w:rPr>
          <w:rFonts w:cs="Arial"/>
          <w:bCs/>
          <w:sz w:val="16"/>
          <w:szCs w:val="16"/>
          <w:lang w:eastAsia="es-ES"/>
        </w:rPr>
      </w:pPr>
      <w:r w:rsidRPr="005E4E69">
        <w:rPr>
          <w:rFonts w:cs="Arial"/>
          <w:bCs/>
          <w:sz w:val="16"/>
          <w:szCs w:val="16"/>
          <w:u w:val="single"/>
          <w:lang w:eastAsia="es-ES"/>
        </w:rPr>
        <w:t>FA</w:t>
      </w:r>
      <w:r w:rsidRPr="00615D21">
        <w:rPr>
          <w:rFonts w:cs="Arial"/>
          <w:bCs/>
          <w:sz w:val="16"/>
          <w:szCs w:val="16"/>
          <w:lang w:eastAsia="es-ES"/>
        </w:rPr>
        <w:t xml:space="preserve">      = Factor de ajuste = 1.4</w:t>
      </w:r>
    </w:p>
    <w:p w14:paraId="3D5AA8BE" w14:textId="77777777" w:rsidR="009F30D1" w:rsidRPr="00615D21" w:rsidRDefault="009F30D1" w:rsidP="006844A1">
      <w:pPr>
        <w:tabs>
          <w:tab w:val="left" w:pos="851"/>
          <w:tab w:val="left" w:pos="1701"/>
        </w:tabs>
        <w:jc w:val="center"/>
        <w:rPr>
          <w:rFonts w:cs="Arial"/>
          <w:bCs/>
          <w:sz w:val="16"/>
          <w:szCs w:val="16"/>
          <w:lang w:val="pt-BR" w:eastAsia="es-ES"/>
        </w:rPr>
      </w:pPr>
    </w:p>
    <w:p w14:paraId="5A085371" w14:textId="77777777" w:rsidR="009F30D1" w:rsidRPr="00615D21" w:rsidRDefault="009F30D1" w:rsidP="006844A1">
      <w:pPr>
        <w:tabs>
          <w:tab w:val="left" w:pos="851"/>
          <w:tab w:val="left" w:pos="1701"/>
        </w:tabs>
        <w:ind w:left="567" w:hanging="567"/>
        <w:rPr>
          <w:rFonts w:cs="Arial"/>
          <w:bCs/>
          <w:sz w:val="16"/>
          <w:szCs w:val="16"/>
          <w:lang w:eastAsia="es-ES"/>
        </w:rPr>
      </w:pPr>
      <w:proofErr w:type="spellStart"/>
      <w:r w:rsidRPr="005E4E69">
        <w:rPr>
          <w:rFonts w:cs="Arial"/>
          <w:bCs/>
          <w:sz w:val="16"/>
          <w:szCs w:val="16"/>
          <w:u w:val="single"/>
          <w:lang w:eastAsia="es-ES"/>
        </w:rPr>
        <w:t>EC</w:t>
      </w:r>
      <w:r w:rsidRPr="005E4E69">
        <w:rPr>
          <w:rFonts w:cs="Arial"/>
          <w:bCs/>
          <w:sz w:val="16"/>
          <w:szCs w:val="16"/>
          <w:u w:val="single"/>
          <w:vertAlign w:val="subscript"/>
          <w:lang w:eastAsia="es-ES"/>
        </w:rPr>
        <w:t>p</w:t>
      </w:r>
      <w:proofErr w:type="spellEnd"/>
      <w:r w:rsidRPr="00615D21">
        <w:rPr>
          <w:rFonts w:cs="Arial"/>
          <w:bCs/>
          <w:sz w:val="16"/>
          <w:szCs w:val="16"/>
          <w:vertAlign w:val="subscript"/>
          <w:lang w:eastAsia="es-ES"/>
        </w:rPr>
        <w:t xml:space="preserve">      </w:t>
      </w:r>
      <w:r w:rsidRPr="00615D21">
        <w:rPr>
          <w:rFonts w:cs="Arial"/>
          <w:bCs/>
          <w:sz w:val="16"/>
          <w:szCs w:val="16"/>
          <w:lang w:eastAsia="es-ES"/>
        </w:rPr>
        <w:t xml:space="preserve">= Exposición crediticia del portafolio de instrumentos financieros derivados con la contraparte con la que se haya pactado la compensación. </w:t>
      </w:r>
    </w:p>
    <w:p w14:paraId="0C760EC4" w14:textId="77777777" w:rsidR="009F30D1" w:rsidRPr="00615D21" w:rsidRDefault="009F30D1" w:rsidP="006844A1">
      <w:pPr>
        <w:tabs>
          <w:tab w:val="left" w:pos="851"/>
          <w:tab w:val="left" w:pos="1701"/>
        </w:tabs>
        <w:ind w:left="567" w:hanging="567"/>
        <w:rPr>
          <w:rFonts w:cs="Arial"/>
          <w:bCs/>
          <w:sz w:val="16"/>
          <w:szCs w:val="16"/>
          <w:lang w:eastAsia="es-ES"/>
        </w:rPr>
      </w:pPr>
    </w:p>
    <w:p w14:paraId="28211A38" w14:textId="77777777" w:rsidR="009F30D1" w:rsidRPr="00615D21" w:rsidRDefault="009F30D1" w:rsidP="006844A1">
      <w:pPr>
        <w:tabs>
          <w:tab w:val="left" w:pos="851"/>
          <w:tab w:val="left" w:pos="1701"/>
        </w:tabs>
        <w:ind w:left="567" w:hanging="567"/>
        <w:rPr>
          <w:rFonts w:cs="Arial"/>
          <w:bCs/>
          <w:sz w:val="16"/>
          <w:szCs w:val="16"/>
          <w:lang w:eastAsia="es-ES"/>
        </w:rPr>
      </w:pPr>
      <w:r w:rsidRPr="005E4E69">
        <w:rPr>
          <w:rFonts w:cs="Arial"/>
          <w:bCs/>
          <w:sz w:val="16"/>
          <w:szCs w:val="16"/>
          <w:u w:val="single"/>
          <w:lang w:eastAsia="es-ES"/>
        </w:rPr>
        <w:t>CR</w:t>
      </w:r>
      <w:r w:rsidRPr="005E4E69">
        <w:rPr>
          <w:rFonts w:cs="Arial"/>
          <w:bCs/>
          <w:sz w:val="16"/>
          <w:szCs w:val="16"/>
          <w:u w:val="single"/>
          <w:vertAlign w:val="subscript"/>
          <w:lang w:eastAsia="es-ES"/>
        </w:rPr>
        <w:t>p</w:t>
      </w:r>
      <w:r w:rsidRPr="005E4E69">
        <w:rPr>
          <w:rFonts w:cs="Arial"/>
          <w:bCs/>
          <w:sz w:val="16"/>
          <w:szCs w:val="16"/>
          <w:u w:val="single"/>
          <w:lang w:eastAsia="es-ES"/>
        </w:rPr>
        <w:t xml:space="preserve">  </w:t>
      </w:r>
      <w:r w:rsidRPr="005E4E69">
        <w:rPr>
          <w:rFonts w:cs="Arial"/>
          <w:bCs/>
          <w:sz w:val="16"/>
          <w:szCs w:val="16"/>
          <w:lang w:eastAsia="es-ES"/>
        </w:rPr>
        <w:t xml:space="preserve">   = Costo de reposición del portafolio de instrumentos financieros derivados con la contraparte con la que se haya</w:t>
      </w:r>
      <w:r w:rsidRPr="00615D21">
        <w:rPr>
          <w:rFonts w:cs="Arial"/>
          <w:bCs/>
          <w:sz w:val="16"/>
          <w:szCs w:val="16"/>
          <w:lang w:eastAsia="es-ES"/>
        </w:rPr>
        <w:t xml:space="preserve"> pactado la compensación. Se define como</w:t>
      </w:r>
    </w:p>
    <w:p w14:paraId="18F7A5D8" w14:textId="77777777" w:rsidR="009F30D1" w:rsidRDefault="009F30D1" w:rsidP="006844A1">
      <w:pPr>
        <w:tabs>
          <w:tab w:val="left" w:pos="851"/>
          <w:tab w:val="left" w:pos="1701"/>
        </w:tabs>
        <w:ind w:left="567" w:hanging="567"/>
        <w:rPr>
          <w:rFonts w:cs="Arial"/>
          <w:b/>
          <w:sz w:val="16"/>
          <w:szCs w:val="16"/>
          <w:lang w:eastAsia="es-ES"/>
        </w:rPr>
      </w:pPr>
    </w:p>
    <w:p w14:paraId="397C7FDE" w14:textId="0AF14C1B" w:rsidR="009F30D1" w:rsidRPr="00615D21" w:rsidRDefault="009F30D1" w:rsidP="006844A1">
      <w:pPr>
        <w:tabs>
          <w:tab w:val="left" w:pos="851"/>
          <w:tab w:val="left" w:pos="1701"/>
        </w:tabs>
        <w:jc w:val="center"/>
        <w:rPr>
          <w:rFonts w:cs="Arial"/>
          <w:sz w:val="18"/>
          <w:szCs w:val="18"/>
          <w:lang w:val="es-CO" w:eastAsia="es-ES"/>
        </w:rPr>
      </w:pPr>
      <w:r w:rsidRPr="00615D21">
        <w:rPr>
          <w:rFonts w:cs="Arial"/>
          <w:sz w:val="18"/>
          <w:szCs w:val="18"/>
          <w:lang w:val="pt-BR" w:eastAsia="es-ES"/>
        </w:rPr>
        <w:t>CR</w:t>
      </w:r>
      <w:r w:rsidRPr="00615D21">
        <w:rPr>
          <w:rFonts w:cs="Arial"/>
          <w:sz w:val="18"/>
          <w:szCs w:val="18"/>
          <w:vertAlign w:val="subscript"/>
          <w:lang w:val="pt-BR" w:eastAsia="es-ES"/>
        </w:rPr>
        <w:t>p</w:t>
      </w:r>
      <w:r w:rsidRPr="00615D21">
        <w:rPr>
          <w:rFonts w:cs="Arial"/>
          <w:sz w:val="18"/>
          <w:szCs w:val="18"/>
          <w:lang w:eastAsia="es-ES"/>
        </w:rPr>
        <w:t xml:space="preserve"> = Máx. </w:t>
      </w:r>
      <w:r w:rsidRPr="00615D21">
        <w:rPr>
          <w:rFonts w:cs="Arial"/>
          <w:sz w:val="18"/>
          <w:szCs w:val="18"/>
          <w:lang w:val="es-CO" w:eastAsia="es-ES"/>
        </w:rPr>
        <w:t xml:space="preserve">{ 0, </w:t>
      </w:r>
      <w:r w:rsidRPr="00615D21">
        <w:rPr>
          <w:rFonts w:cs="Arial"/>
          <w:position w:val="-28"/>
          <w:sz w:val="18"/>
          <w:szCs w:val="16"/>
        </w:rPr>
        <w:object w:dxaOrig="300" w:dyaOrig="645" w14:anchorId="0CF67E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33.4pt" o:ole="">
            <v:imagedata r:id="rId13" o:title=""/>
          </v:shape>
          <o:OLEObject Type="Embed" ProgID="Equation.3" ShapeID="_x0000_i1025" DrawAspect="Content" ObjectID="_1740410342" r:id="rId14"/>
        </w:object>
      </w:r>
      <w:bookmarkStart w:id="7" w:name="_Hlk527530869"/>
      <w:proofErr w:type="spellStart"/>
      <w:r w:rsidRPr="00615D21">
        <w:rPr>
          <w:rFonts w:cs="Arial"/>
          <w:sz w:val="18"/>
          <w:szCs w:val="18"/>
          <w:lang w:val="pt-BR" w:eastAsia="es-ES"/>
        </w:rPr>
        <w:t>VR</w:t>
      </w:r>
      <w:r w:rsidRPr="00615D21">
        <w:rPr>
          <w:rFonts w:cs="Arial"/>
          <w:sz w:val="18"/>
          <w:szCs w:val="18"/>
          <w:vertAlign w:val="subscript"/>
          <w:lang w:val="pt-BR" w:eastAsia="es-ES"/>
        </w:rPr>
        <w:t>i</w:t>
      </w:r>
      <w:bookmarkEnd w:id="7"/>
      <w:proofErr w:type="spellEnd"/>
      <w:r w:rsidRPr="00615D21">
        <w:rPr>
          <w:rFonts w:cs="Arial"/>
          <w:sz w:val="18"/>
          <w:szCs w:val="18"/>
          <w:lang w:val="es-CO" w:eastAsia="es-ES"/>
        </w:rPr>
        <w:t xml:space="preserve"> – C, TH + MTA – NICA }, donde:</w:t>
      </w:r>
    </w:p>
    <w:bookmarkStart w:id="8" w:name="_Hlk23401670"/>
    <w:p w14:paraId="7842289C" w14:textId="00C7B903" w:rsidR="009F30D1" w:rsidRPr="005C7235" w:rsidRDefault="009F30D1" w:rsidP="66B220A0">
      <w:pPr>
        <w:tabs>
          <w:tab w:val="left" w:pos="851"/>
          <w:tab w:val="left" w:pos="1701"/>
        </w:tabs>
        <w:ind w:left="1134" w:hanging="1134"/>
        <w:rPr>
          <w:rFonts w:cs="Arial"/>
          <w:sz w:val="16"/>
          <w:szCs w:val="16"/>
          <w:lang w:eastAsia="es-ES"/>
        </w:rPr>
      </w:pPr>
      <w:r w:rsidRPr="005C7235">
        <w:rPr>
          <w:rFonts w:cs="Arial"/>
          <w:bCs/>
          <w:position w:val="-28"/>
          <w:sz w:val="16"/>
          <w:szCs w:val="16"/>
        </w:rPr>
        <w:object w:dxaOrig="300" w:dyaOrig="645" w14:anchorId="6770C122">
          <v:shape id="_x0000_i1026" type="#_x0000_t75" style="width:15pt;height:33.4pt" o:ole="">
            <v:imagedata r:id="rId13" o:title=""/>
          </v:shape>
          <o:OLEObject Type="Embed" ProgID="Equation.3" ShapeID="_x0000_i1026" DrawAspect="Content" ObjectID="_1740410343" r:id="rId15"/>
        </w:object>
      </w:r>
      <w:bookmarkEnd w:id="8"/>
      <w:proofErr w:type="spellStart"/>
      <w:r w:rsidRPr="66B220A0">
        <w:rPr>
          <w:rFonts w:cs="Arial"/>
          <w:sz w:val="16"/>
          <w:szCs w:val="16"/>
          <w:lang w:val="pt-BR" w:eastAsia="es-ES"/>
        </w:rPr>
        <w:t>VR</w:t>
      </w:r>
      <w:r w:rsidRPr="66B220A0">
        <w:rPr>
          <w:rFonts w:cs="Arial"/>
          <w:sz w:val="16"/>
          <w:szCs w:val="16"/>
          <w:vertAlign w:val="subscript"/>
          <w:lang w:val="pt-BR" w:eastAsia="es-ES"/>
        </w:rPr>
        <w:t>i</w:t>
      </w:r>
      <w:proofErr w:type="spellEnd"/>
      <w:r w:rsidRPr="66B220A0">
        <w:rPr>
          <w:rFonts w:cs="Arial"/>
          <w:sz w:val="16"/>
          <w:szCs w:val="16"/>
          <w:lang w:eastAsia="es-ES"/>
        </w:rPr>
        <w:t xml:space="preserve">           </w:t>
      </w:r>
      <w:r w:rsidRPr="005C7235">
        <w:rPr>
          <w:rFonts w:cs="Arial"/>
          <w:bCs/>
          <w:sz w:val="16"/>
          <w:szCs w:val="16"/>
          <w:lang w:eastAsia="es-ES"/>
        </w:rPr>
        <w:tab/>
      </w:r>
      <w:r w:rsidRPr="66B220A0">
        <w:rPr>
          <w:rFonts w:cs="Arial"/>
          <w:sz w:val="16"/>
          <w:szCs w:val="16"/>
          <w:lang w:eastAsia="es-ES"/>
        </w:rPr>
        <w:t xml:space="preserve">= </w:t>
      </w:r>
      <w:r w:rsidRPr="66B220A0">
        <w:rPr>
          <w:rFonts w:cs="Arial"/>
          <w:sz w:val="16"/>
          <w:szCs w:val="16"/>
        </w:rPr>
        <w:t>Suma</w:t>
      </w:r>
      <w:r w:rsidRPr="66B220A0">
        <w:rPr>
          <w:rFonts w:cs="Arial"/>
          <w:sz w:val="16"/>
          <w:szCs w:val="16"/>
          <w:lang w:val="es-ES"/>
        </w:rPr>
        <w:t xml:space="preserve"> de los valores razonables de los instrumentos financieros derivados negociados con la respectiva contraparte.</w:t>
      </w:r>
    </w:p>
    <w:p w14:paraId="1D1CD505" w14:textId="3C305114" w:rsidR="009F30D1" w:rsidRDefault="009F30D1" w:rsidP="006844A1">
      <w:pPr>
        <w:tabs>
          <w:tab w:val="left" w:pos="851"/>
          <w:tab w:val="left" w:pos="1701"/>
        </w:tabs>
        <w:ind w:left="1134" w:hanging="1134"/>
        <w:rPr>
          <w:rFonts w:cs="Arial"/>
          <w:b/>
          <w:sz w:val="16"/>
          <w:szCs w:val="16"/>
          <w:lang w:eastAsia="es-ES"/>
        </w:rPr>
      </w:pPr>
    </w:p>
    <w:p w14:paraId="7624ED77" w14:textId="133F3AF4" w:rsidR="009F30D1" w:rsidRPr="00166D1A" w:rsidRDefault="009F30D1" w:rsidP="006844A1">
      <w:pPr>
        <w:tabs>
          <w:tab w:val="left" w:pos="851"/>
          <w:tab w:val="left" w:pos="1701"/>
        </w:tabs>
        <w:ind w:left="1134" w:hanging="1134"/>
        <w:rPr>
          <w:rFonts w:cs="Arial"/>
          <w:bCs/>
          <w:sz w:val="16"/>
          <w:szCs w:val="16"/>
          <w:lang w:eastAsia="es-ES"/>
        </w:rPr>
      </w:pPr>
      <w:r w:rsidRPr="00166D1A">
        <w:rPr>
          <w:rFonts w:cs="Arial"/>
          <w:bCs/>
          <w:sz w:val="16"/>
          <w:szCs w:val="16"/>
          <w:lang w:eastAsia="es-ES"/>
        </w:rPr>
        <w:t xml:space="preserve">C                 </w:t>
      </w:r>
      <w:r w:rsidRPr="00166D1A">
        <w:rPr>
          <w:rFonts w:cs="Arial"/>
          <w:bCs/>
          <w:sz w:val="16"/>
          <w:szCs w:val="16"/>
          <w:lang w:eastAsia="es-ES"/>
        </w:rPr>
        <w:tab/>
        <w:t>= Valor razonable de las garantías netas admisibles ponderadas por el ‘</w:t>
      </w:r>
      <w:proofErr w:type="spellStart"/>
      <w:r w:rsidRPr="00166D1A">
        <w:rPr>
          <w:rFonts w:cs="Arial"/>
          <w:bCs/>
          <w:sz w:val="16"/>
          <w:szCs w:val="16"/>
          <w:lang w:eastAsia="es-ES"/>
        </w:rPr>
        <w:t>haircut</w:t>
      </w:r>
      <w:proofErr w:type="spellEnd"/>
      <w:r w:rsidRPr="00166D1A">
        <w:rPr>
          <w:rFonts w:cs="Arial"/>
          <w:bCs/>
          <w:sz w:val="16"/>
          <w:szCs w:val="16"/>
          <w:lang w:eastAsia="es-ES"/>
        </w:rPr>
        <w:t>’ aplicable según el tipo de activo, de acuerdo con la tabla contenida en el numeral 1.3 del presente Anexo.</w:t>
      </w:r>
    </w:p>
    <w:p w14:paraId="01B6E778" w14:textId="102C3532" w:rsidR="009F30D1" w:rsidRPr="00166D1A" w:rsidRDefault="009F30D1" w:rsidP="006844A1">
      <w:pPr>
        <w:tabs>
          <w:tab w:val="left" w:pos="851"/>
          <w:tab w:val="left" w:pos="1701"/>
        </w:tabs>
        <w:ind w:left="1134" w:hanging="1134"/>
        <w:rPr>
          <w:rFonts w:cs="Arial"/>
          <w:bCs/>
          <w:sz w:val="16"/>
          <w:szCs w:val="16"/>
          <w:lang w:eastAsia="es-ES"/>
        </w:rPr>
      </w:pPr>
    </w:p>
    <w:p w14:paraId="60DA962C" w14:textId="65B2604F" w:rsidR="009F30D1" w:rsidRPr="00166D1A" w:rsidRDefault="009F30D1" w:rsidP="006844A1">
      <w:pPr>
        <w:tabs>
          <w:tab w:val="left" w:pos="851"/>
          <w:tab w:val="left" w:pos="1701"/>
        </w:tabs>
        <w:ind w:left="1134" w:hanging="1134"/>
        <w:rPr>
          <w:rFonts w:cs="Arial"/>
          <w:bCs/>
          <w:sz w:val="16"/>
          <w:szCs w:val="16"/>
          <w:lang w:eastAsia="es-ES"/>
        </w:rPr>
      </w:pPr>
      <w:r w:rsidRPr="00166D1A">
        <w:rPr>
          <w:rFonts w:cs="Arial"/>
          <w:bCs/>
          <w:sz w:val="16"/>
          <w:szCs w:val="16"/>
          <w:lang w:eastAsia="es-ES"/>
        </w:rPr>
        <w:t>TH</w:t>
      </w:r>
      <w:r w:rsidRPr="00166D1A">
        <w:rPr>
          <w:rFonts w:cs="Arial"/>
          <w:bCs/>
          <w:sz w:val="16"/>
          <w:szCs w:val="16"/>
          <w:lang w:eastAsia="es-ES"/>
        </w:rPr>
        <w:tab/>
      </w:r>
      <w:r w:rsidRPr="00166D1A">
        <w:rPr>
          <w:rFonts w:cs="Arial"/>
          <w:bCs/>
          <w:sz w:val="16"/>
          <w:szCs w:val="16"/>
          <w:lang w:eastAsia="es-ES"/>
        </w:rPr>
        <w:tab/>
        <w:t>= Umbral o ‘</w:t>
      </w:r>
      <w:proofErr w:type="spellStart"/>
      <w:r w:rsidRPr="00166D1A">
        <w:rPr>
          <w:rFonts w:cs="Arial"/>
          <w:bCs/>
          <w:sz w:val="16"/>
          <w:szCs w:val="16"/>
          <w:lang w:eastAsia="es-ES"/>
        </w:rPr>
        <w:t>threshold</w:t>
      </w:r>
      <w:proofErr w:type="spellEnd"/>
      <w:r w:rsidRPr="00166D1A">
        <w:rPr>
          <w:rFonts w:cs="Arial"/>
          <w:bCs/>
          <w:sz w:val="16"/>
          <w:szCs w:val="16"/>
          <w:lang w:eastAsia="es-ES"/>
        </w:rPr>
        <w:t>’. Corresponde al monto de la exposición a partir de la cual la contraparte debe intercambiar garantías para margen variable con la entidad.</w:t>
      </w:r>
    </w:p>
    <w:p w14:paraId="3CBFFCF0" w14:textId="66E9527C" w:rsidR="009F30D1" w:rsidRDefault="009F30D1" w:rsidP="006844A1">
      <w:pPr>
        <w:tabs>
          <w:tab w:val="left" w:pos="851"/>
          <w:tab w:val="left" w:pos="1701"/>
        </w:tabs>
        <w:ind w:left="1134" w:hanging="1134"/>
        <w:rPr>
          <w:rFonts w:cs="Arial"/>
          <w:b/>
          <w:sz w:val="16"/>
          <w:szCs w:val="16"/>
          <w:lang w:eastAsia="es-ES"/>
        </w:rPr>
      </w:pPr>
    </w:p>
    <w:p w14:paraId="2C5763B2" w14:textId="52E19532" w:rsidR="009F30D1" w:rsidRPr="00A160CA" w:rsidRDefault="009F30D1" w:rsidP="006844A1">
      <w:pPr>
        <w:tabs>
          <w:tab w:val="left" w:pos="851"/>
          <w:tab w:val="left" w:pos="1701"/>
        </w:tabs>
        <w:ind w:left="1134" w:hanging="1134"/>
        <w:rPr>
          <w:rFonts w:cs="Arial"/>
          <w:bCs/>
          <w:sz w:val="16"/>
          <w:szCs w:val="16"/>
          <w:lang w:eastAsia="es-ES"/>
        </w:rPr>
      </w:pPr>
      <w:r w:rsidRPr="00A160CA">
        <w:rPr>
          <w:rFonts w:cs="Arial"/>
          <w:bCs/>
          <w:sz w:val="16"/>
          <w:szCs w:val="16"/>
          <w:lang w:eastAsia="es-ES"/>
        </w:rPr>
        <w:t>MTA</w:t>
      </w:r>
      <w:r w:rsidRPr="00A160CA">
        <w:rPr>
          <w:rFonts w:cs="Arial"/>
          <w:bCs/>
          <w:sz w:val="16"/>
          <w:szCs w:val="16"/>
          <w:lang w:eastAsia="es-ES"/>
        </w:rPr>
        <w:tab/>
      </w:r>
      <w:r w:rsidRPr="00A160CA">
        <w:rPr>
          <w:rFonts w:cs="Arial"/>
          <w:bCs/>
          <w:sz w:val="16"/>
          <w:szCs w:val="16"/>
          <w:lang w:eastAsia="es-ES"/>
        </w:rPr>
        <w:tab/>
        <w:t>= Monto mínimo de transferencia o ‘</w:t>
      </w:r>
      <w:proofErr w:type="spellStart"/>
      <w:r w:rsidRPr="00A160CA">
        <w:rPr>
          <w:rFonts w:cs="Arial"/>
          <w:bCs/>
          <w:sz w:val="16"/>
          <w:szCs w:val="16"/>
          <w:lang w:eastAsia="es-ES"/>
        </w:rPr>
        <w:t>minimum</w:t>
      </w:r>
      <w:proofErr w:type="spellEnd"/>
      <w:r w:rsidRPr="00A160CA">
        <w:rPr>
          <w:rFonts w:cs="Arial"/>
          <w:bCs/>
          <w:sz w:val="16"/>
          <w:szCs w:val="16"/>
          <w:lang w:eastAsia="es-ES"/>
        </w:rPr>
        <w:t xml:space="preserve"> transfer </w:t>
      </w:r>
      <w:proofErr w:type="spellStart"/>
      <w:r w:rsidRPr="00A160CA">
        <w:rPr>
          <w:rFonts w:cs="Arial"/>
          <w:bCs/>
          <w:sz w:val="16"/>
          <w:szCs w:val="16"/>
          <w:lang w:eastAsia="es-ES"/>
        </w:rPr>
        <w:t>amount</w:t>
      </w:r>
      <w:proofErr w:type="spellEnd"/>
      <w:r w:rsidRPr="00A160CA">
        <w:rPr>
          <w:rFonts w:cs="Arial"/>
          <w:bCs/>
          <w:sz w:val="16"/>
          <w:szCs w:val="16"/>
          <w:lang w:eastAsia="es-ES"/>
        </w:rPr>
        <w:t xml:space="preserve">’. Corresponde al monto mínimo del valor de las garantías para margen variable que la contraparte debe transferir a favor de la entidad. </w:t>
      </w:r>
    </w:p>
    <w:p w14:paraId="2F987BB5" w14:textId="61D1B9ED" w:rsidR="009F30D1" w:rsidRDefault="009F30D1" w:rsidP="006844A1">
      <w:pPr>
        <w:tabs>
          <w:tab w:val="left" w:pos="851"/>
          <w:tab w:val="left" w:pos="1701"/>
        </w:tabs>
        <w:ind w:left="1134" w:hanging="1134"/>
        <w:rPr>
          <w:rFonts w:cs="Arial"/>
          <w:b/>
          <w:sz w:val="16"/>
          <w:szCs w:val="16"/>
          <w:lang w:eastAsia="es-ES"/>
        </w:rPr>
      </w:pPr>
    </w:p>
    <w:p w14:paraId="07CE92A5" w14:textId="6FD3B3A8" w:rsidR="009F30D1" w:rsidRPr="006844A1" w:rsidRDefault="009F30D1" w:rsidP="006844A1">
      <w:pPr>
        <w:tabs>
          <w:tab w:val="left" w:pos="851"/>
          <w:tab w:val="left" w:pos="1701"/>
        </w:tabs>
        <w:ind w:left="1134" w:hanging="1134"/>
        <w:rPr>
          <w:rFonts w:cs="Arial"/>
          <w:bCs/>
          <w:sz w:val="16"/>
          <w:szCs w:val="16"/>
          <w:lang w:eastAsia="es-ES"/>
        </w:rPr>
      </w:pPr>
      <w:r w:rsidRPr="006844A1">
        <w:rPr>
          <w:rFonts w:cs="Arial"/>
          <w:bCs/>
          <w:sz w:val="16"/>
          <w:szCs w:val="16"/>
          <w:lang w:eastAsia="es-ES"/>
        </w:rPr>
        <w:t>NICA</w:t>
      </w:r>
      <w:r w:rsidRPr="006844A1">
        <w:rPr>
          <w:rFonts w:cs="Arial"/>
          <w:bCs/>
          <w:sz w:val="16"/>
          <w:szCs w:val="16"/>
          <w:lang w:eastAsia="es-ES"/>
        </w:rPr>
        <w:tab/>
      </w:r>
      <w:r w:rsidRPr="006844A1">
        <w:rPr>
          <w:rFonts w:cs="Arial"/>
          <w:bCs/>
          <w:sz w:val="16"/>
          <w:szCs w:val="16"/>
          <w:lang w:eastAsia="es-ES"/>
        </w:rPr>
        <w:tab/>
        <w:t xml:space="preserve">= Valor de la garantía inicial neta. Corresponde al valor razonable de la garantía inicial constituida por la contraparte menos el valor razonable de la garantía inicial constituida por la entidad. Por garantía inicial se entienden i) Las garantías constituidas diferentes a margen variable que la entidad puede ejecutar en caso de incumplimiento de la contraparte, y cuyo valor no depende del valor de las transacciones que garantiza y/o </w:t>
      </w:r>
      <w:proofErr w:type="spellStart"/>
      <w:r w:rsidRPr="006844A1">
        <w:rPr>
          <w:rFonts w:cs="Arial"/>
          <w:bCs/>
          <w:sz w:val="16"/>
          <w:szCs w:val="16"/>
          <w:lang w:eastAsia="es-ES"/>
        </w:rPr>
        <w:t>ii</w:t>
      </w:r>
      <w:proofErr w:type="spellEnd"/>
      <w:r w:rsidRPr="006844A1">
        <w:rPr>
          <w:rFonts w:cs="Arial"/>
          <w:bCs/>
          <w:sz w:val="16"/>
          <w:szCs w:val="16"/>
          <w:lang w:eastAsia="es-ES"/>
        </w:rPr>
        <w:t>) el o monto independiente o ‘</w:t>
      </w:r>
      <w:proofErr w:type="spellStart"/>
      <w:r w:rsidRPr="006844A1">
        <w:rPr>
          <w:rFonts w:cs="Arial"/>
          <w:bCs/>
          <w:sz w:val="16"/>
          <w:szCs w:val="16"/>
          <w:lang w:eastAsia="es-ES"/>
        </w:rPr>
        <w:t>Independent</w:t>
      </w:r>
      <w:proofErr w:type="spellEnd"/>
      <w:r w:rsidRPr="006844A1">
        <w:rPr>
          <w:rFonts w:cs="Arial"/>
          <w:bCs/>
          <w:sz w:val="16"/>
          <w:szCs w:val="16"/>
          <w:lang w:eastAsia="es-ES"/>
        </w:rPr>
        <w:t xml:space="preserve"> </w:t>
      </w:r>
      <w:proofErr w:type="spellStart"/>
      <w:r w:rsidRPr="006844A1">
        <w:rPr>
          <w:rFonts w:cs="Arial"/>
          <w:bCs/>
          <w:sz w:val="16"/>
          <w:szCs w:val="16"/>
          <w:lang w:eastAsia="es-ES"/>
        </w:rPr>
        <w:t>Amount</w:t>
      </w:r>
      <w:proofErr w:type="spellEnd"/>
      <w:r w:rsidRPr="006844A1">
        <w:rPr>
          <w:rFonts w:cs="Arial"/>
          <w:bCs/>
          <w:sz w:val="16"/>
          <w:szCs w:val="16"/>
          <w:lang w:eastAsia="es-ES"/>
        </w:rPr>
        <w:t>’ referido en la documentación estandarizada ISDA. Para el cálculo de la garantía inicial constituida por la entidad no se debe tener en cuenta el valor de las garantías otorgadas por la entidad que se mantengan en cuentas o mecanismos que garanticen la segregación patrimonial de estas garantías y su disponibilidad en caso de un evento de insolvencia de la contraparte.</w:t>
      </w:r>
    </w:p>
    <w:p w14:paraId="2E7A8C25" w14:textId="4C22ADBF" w:rsidR="0044135B" w:rsidRDefault="0044135B" w:rsidP="009F30D1">
      <w:pPr>
        <w:tabs>
          <w:tab w:val="left" w:pos="851"/>
          <w:tab w:val="left" w:pos="1701"/>
        </w:tabs>
        <w:rPr>
          <w:rFonts w:cs="Arial"/>
          <w:sz w:val="16"/>
          <w:szCs w:val="16"/>
          <w:lang w:val="es-ES"/>
        </w:rPr>
      </w:pPr>
    </w:p>
    <w:p w14:paraId="2ECA9BAD" w14:textId="121BB5E0" w:rsidR="009F30D1" w:rsidRPr="00956C93" w:rsidRDefault="009F30D1" w:rsidP="003A3AD1">
      <w:pPr>
        <w:tabs>
          <w:tab w:val="left" w:pos="851"/>
          <w:tab w:val="left" w:pos="1701"/>
        </w:tabs>
        <w:ind w:left="567" w:hanging="564"/>
        <w:rPr>
          <w:rFonts w:cs="Arial"/>
          <w:bCs/>
          <w:sz w:val="16"/>
          <w:szCs w:val="16"/>
          <w:lang w:val="es-CO" w:eastAsia="es-ES"/>
        </w:rPr>
      </w:pPr>
      <w:r w:rsidRPr="00BD1F7C">
        <w:rPr>
          <w:rFonts w:cs="Arial"/>
          <w:bCs/>
          <w:sz w:val="16"/>
          <w:szCs w:val="16"/>
          <w:u w:val="single"/>
          <w:lang w:val="es-ES"/>
        </w:rPr>
        <w:t>EPF</w:t>
      </w:r>
      <w:r w:rsidRPr="00BD1F7C">
        <w:rPr>
          <w:rFonts w:cs="Arial"/>
          <w:bCs/>
          <w:sz w:val="16"/>
          <w:szCs w:val="16"/>
          <w:u w:val="single"/>
          <w:vertAlign w:val="subscript"/>
          <w:lang w:val="pt-BR" w:eastAsia="es-ES"/>
        </w:rPr>
        <w:t xml:space="preserve">p </w:t>
      </w:r>
      <w:r w:rsidRPr="00956C93">
        <w:rPr>
          <w:rFonts w:cs="Arial"/>
          <w:bCs/>
          <w:sz w:val="16"/>
          <w:szCs w:val="16"/>
          <w:lang w:val="pt-BR" w:eastAsia="es-ES"/>
        </w:rPr>
        <w:tab/>
        <w:t xml:space="preserve">= </w:t>
      </w:r>
      <w:r w:rsidRPr="00956C93">
        <w:rPr>
          <w:rFonts w:cs="Arial"/>
          <w:bCs/>
          <w:sz w:val="16"/>
          <w:szCs w:val="16"/>
          <w:lang w:val="es-CO" w:eastAsia="es-ES"/>
        </w:rPr>
        <w:t xml:space="preserve">Exposición potencial futura del portafolio de instrumentos financieros derivados con la contraparte con la que haya pactado la compensación. Se define como: </w:t>
      </w:r>
    </w:p>
    <w:p w14:paraId="2DC31623" w14:textId="4C1D08D9" w:rsidR="009F30D1" w:rsidRDefault="00956C93" w:rsidP="009F30D1">
      <w:pPr>
        <w:tabs>
          <w:tab w:val="left" w:pos="851"/>
          <w:tab w:val="left" w:pos="1701"/>
        </w:tabs>
        <w:ind w:left="567" w:hanging="564"/>
        <w:jc w:val="center"/>
        <w:rPr>
          <w:rFonts w:cs="Arial"/>
          <w:sz w:val="18"/>
          <w:szCs w:val="16"/>
          <w:lang w:val="pt-BR"/>
        </w:rPr>
      </w:pPr>
      <w:r>
        <w:rPr>
          <w:rFonts w:cs="Arial"/>
          <w:b/>
          <w:noProof/>
          <w:sz w:val="16"/>
          <w:szCs w:val="16"/>
          <w:lang w:val="es-ES"/>
        </w:rPr>
        <mc:AlternateContent>
          <mc:Choice Requires="wps">
            <w:drawing>
              <wp:anchor distT="0" distB="0" distL="114300" distR="114300" simplePos="0" relativeHeight="251659264" behindDoc="0" locked="0" layoutInCell="1" allowOverlap="1" wp14:anchorId="39D0C5B2" wp14:editId="531BF74B">
                <wp:simplePos x="0" y="0"/>
                <wp:positionH relativeFrom="column">
                  <wp:posOffset>-137160</wp:posOffset>
                </wp:positionH>
                <wp:positionV relativeFrom="paragraph">
                  <wp:posOffset>136525</wp:posOffset>
                </wp:positionV>
                <wp:extent cx="0" cy="900000"/>
                <wp:effectExtent l="0" t="0" r="38100" b="33655"/>
                <wp:wrapNone/>
                <wp:docPr id="2" name="Conector recto 2"/>
                <wp:cNvGraphicFramePr/>
                <a:graphic xmlns:a="http://schemas.openxmlformats.org/drawingml/2006/main">
                  <a:graphicData uri="http://schemas.microsoft.com/office/word/2010/wordprocessingShape">
                    <wps:wsp>
                      <wps:cNvCnPr/>
                      <wps:spPr>
                        <a:xfrm>
                          <a:off x="0" y="0"/>
                          <a:ext cx="0" cy="90000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4CE98A" id="Conector recto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pt,10.75pt" to="-10.8pt,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" strokecolor="black [3213]" strokeweight=".25pt">
                <v:stroke joinstyle="miter"/>
              </v:line>
            </w:pict>
          </mc:Fallback>
        </mc:AlternateContent>
      </w:r>
    </w:p>
    <w:p w14:paraId="7BBDDB43" w14:textId="1A32CCF8" w:rsidR="00D273CD" w:rsidRPr="00981508" w:rsidRDefault="00981508" w:rsidP="00D273CD">
      <w:pPr>
        <w:tabs>
          <w:tab w:val="left" w:pos="851"/>
          <w:tab w:val="left" w:pos="1701"/>
        </w:tabs>
        <w:ind w:left="567" w:hanging="564"/>
        <w:jc w:val="center"/>
        <w:rPr>
          <w:rFonts w:cs="Arial"/>
          <w:b/>
          <w:sz w:val="18"/>
          <w:szCs w:val="16"/>
          <w:lang w:val="es-CO"/>
        </w:rPr>
      </w:pPr>
      <m:oMathPara>
        <m:oMath>
          <m:r>
            <m:rPr>
              <m:sty m:val="bi"/>
            </m:rPr>
            <w:rPr>
              <w:rFonts w:ascii="Cambria Math" w:hAnsi="Cambria Math" w:cs="Arial"/>
              <w:sz w:val="18"/>
              <w:szCs w:val="16"/>
              <w:lang w:val="es-CO"/>
            </w:rPr>
            <m:t>EP</m:t>
          </m:r>
          <m:sSub>
            <m:sSubPr>
              <m:ctrlPr>
                <w:rPr>
                  <w:rFonts w:ascii="Cambria Math" w:hAnsi="Cambria Math" w:cs="Arial"/>
                  <w:b/>
                  <w:i/>
                  <w:sz w:val="18"/>
                  <w:szCs w:val="16"/>
                  <w:lang w:val="es-CO"/>
                </w:rPr>
              </m:ctrlPr>
            </m:sSubPr>
            <m:e>
              <m:r>
                <m:rPr>
                  <m:sty m:val="bi"/>
                </m:rPr>
                <w:rPr>
                  <w:rFonts w:ascii="Cambria Math" w:hAnsi="Cambria Math" w:cs="Arial"/>
                  <w:sz w:val="18"/>
                  <w:szCs w:val="16"/>
                  <w:lang w:val="es-CO"/>
                </w:rPr>
                <m:t>F</m:t>
              </m:r>
            </m:e>
            <m:sub>
              <m:r>
                <m:rPr>
                  <m:sty m:val="bi"/>
                </m:rPr>
                <w:rPr>
                  <w:rFonts w:ascii="Cambria Math" w:hAnsi="Cambria Math" w:cs="Arial"/>
                  <w:sz w:val="18"/>
                  <w:szCs w:val="16"/>
                  <w:lang w:val="es-CO"/>
                </w:rPr>
                <m:t>p</m:t>
              </m:r>
            </m:sub>
          </m:sSub>
          <m:r>
            <m:rPr>
              <m:sty m:val="bi"/>
            </m:rPr>
            <w:rPr>
              <w:rFonts w:ascii="Cambria Math" w:hAnsi="Cambria Math" w:cs="Arial"/>
              <w:sz w:val="18"/>
              <w:szCs w:val="16"/>
              <w:lang w:val="es-CO"/>
            </w:rPr>
            <m:t xml:space="preserve">= </m:t>
          </m:r>
          <m:nary>
            <m:naryPr>
              <m:chr m:val="∑"/>
              <m:limLoc m:val="undOvr"/>
              <m:ctrlPr>
                <w:rPr>
                  <w:rFonts w:ascii="Cambria Math" w:hAnsi="Cambria Math" w:cs="Arial"/>
                  <w:b/>
                  <w:i/>
                  <w:sz w:val="18"/>
                  <w:szCs w:val="16"/>
                  <w:lang w:val="es-CO"/>
                </w:rPr>
              </m:ctrlPr>
            </m:naryPr>
            <m:sub>
              <m:r>
                <m:rPr>
                  <m:sty m:val="bi"/>
                </m:rPr>
                <w:rPr>
                  <w:rFonts w:ascii="Cambria Math" w:hAnsi="Cambria Math" w:cs="Arial"/>
                  <w:sz w:val="18"/>
                  <w:szCs w:val="16"/>
                  <w:lang w:val="es-CO"/>
                </w:rPr>
                <m:t>j=1</m:t>
              </m:r>
            </m:sub>
            <m:sup>
              <m:r>
                <m:rPr>
                  <m:sty m:val="bi"/>
                </m:rPr>
                <w:rPr>
                  <w:rFonts w:ascii="Cambria Math" w:hAnsi="Cambria Math" w:cs="Arial"/>
                  <w:sz w:val="18"/>
                  <w:szCs w:val="16"/>
                  <w:lang w:val="es-CO"/>
                </w:rPr>
                <m:t>k</m:t>
              </m:r>
            </m:sup>
            <m:e>
              <m:r>
                <m:rPr>
                  <m:sty m:val="bi"/>
                </m:rPr>
                <w:rPr>
                  <w:rFonts w:ascii="Cambria Math" w:hAnsi="Cambria Math" w:cs="Arial"/>
                  <w:sz w:val="18"/>
                  <w:szCs w:val="16"/>
                  <w:lang w:val="es-CO"/>
                </w:rPr>
                <m:t>valor absoluto</m:t>
              </m:r>
              <m:sSub>
                <m:sSubPr>
                  <m:ctrlPr>
                    <w:rPr>
                      <w:rFonts w:ascii="Cambria Math" w:hAnsi="Cambria Math" w:cs="Arial"/>
                      <w:b/>
                      <w:i/>
                      <w:sz w:val="18"/>
                      <w:szCs w:val="16"/>
                      <w:lang w:val="es-CO"/>
                    </w:rPr>
                  </m:ctrlPr>
                </m:sSubPr>
                <m:e>
                  <m:d>
                    <m:dPr>
                      <m:begChr m:val="{"/>
                      <m:endChr m:val="}"/>
                      <m:ctrlPr>
                        <w:rPr>
                          <w:rFonts w:ascii="Cambria Math" w:hAnsi="Cambria Math" w:cs="Arial"/>
                          <w:b/>
                          <w:i/>
                          <w:sz w:val="18"/>
                          <w:szCs w:val="16"/>
                          <w:lang w:val="es-CO"/>
                        </w:rPr>
                      </m:ctrlPr>
                    </m:dPr>
                    <m:e>
                      <m:nary>
                        <m:naryPr>
                          <m:chr m:val="∑"/>
                          <m:limLoc m:val="undOvr"/>
                          <m:ctrlPr>
                            <w:rPr>
                              <w:rFonts w:ascii="Cambria Math" w:hAnsi="Cambria Math" w:cs="Arial"/>
                              <w:b/>
                              <w:i/>
                              <w:sz w:val="18"/>
                              <w:szCs w:val="16"/>
                              <w:lang w:val="es-CO"/>
                            </w:rPr>
                          </m:ctrlPr>
                        </m:naryPr>
                        <m:sub>
                          <m:r>
                            <m:rPr>
                              <m:sty m:val="bi"/>
                            </m:rPr>
                            <w:rPr>
                              <w:rFonts w:ascii="Cambria Math" w:hAnsi="Cambria Math" w:cs="Arial"/>
                              <w:sz w:val="18"/>
                              <w:szCs w:val="16"/>
                              <w:lang w:val="es-CO"/>
                            </w:rPr>
                            <m:t>i=1</m:t>
                          </m:r>
                        </m:sub>
                        <m:sup>
                          <m:r>
                            <m:rPr>
                              <m:sty m:val="bi"/>
                            </m:rPr>
                            <w:rPr>
                              <w:rFonts w:ascii="Cambria Math" w:hAnsi="Cambria Math" w:cs="Arial"/>
                              <w:sz w:val="18"/>
                              <w:szCs w:val="16"/>
                              <w:lang w:val="es-CO"/>
                            </w:rPr>
                            <m:t>N</m:t>
                          </m:r>
                        </m:sup>
                        <m:e>
                          <m:r>
                            <m:rPr>
                              <m:sty m:val="bi"/>
                            </m:rPr>
                            <w:rPr>
                              <w:rFonts w:ascii="Cambria Math" w:hAnsi="Cambria Math" w:cs="Arial"/>
                              <w:sz w:val="18"/>
                              <w:szCs w:val="16"/>
                              <w:lang w:val="es-CO"/>
                            </w:rPr>
                            <m:t>F</m:t>
                          </m:r>
                          <m:sSub>
                            <m:sSubPr>
                              <m:ctrlPr>
                                <w:rPr>
                                  <w:rFonts w:ascii="Cambria Math" w:hAnsi="Cambria Math" w:cs="Arial"/>
                                  <w:b/>
                                  <w:i/>
                                  <w:sz w:val="18"/>
                                  <w:szCs w:val="16"/>
                                  <w:lang w:val="es-CO"/>
                                </w:rPr>
                              </m:ctrlPr>
                            </m:sSubPr>
                            <m:e>
                              <m:r>
                                <m:rPr>
                                  <m:sty m:val="bi"/>
                                </m:rPr>
                                <w:rPr>
                                  <w:rFonts w:ascii="Cambria Math" w:hAnsi="Cambria Math" w:cs="Arial"/>
                                  <w:sz w:val="18"/>
                                  <w:szCs w:val="16"/>
                                  <w:lang w:val="es-CO"/>
                                </w:rPr>
                                <m:t>C</m:t>
                              </m:r>
                            </m:e>
                            <m:sub>
                              <m:r>
                                <m:rPr>
                                  <m:sty m:val="bi"/>
                                </m:rPr>
                                <w:rPr>
                                  <w:rFonts w:ascii="Cambria Math" w:hAnsi="Cambria Math" w:cs="Arial"/>
                                  <w:sz w:val="18"/>
                                  <w:szCs w:val="16"/>
                                  <w:lang w:val="es-CO"/>
                                </w:rPr>
                                <m:t>i</m:t>
                              </m:r>
                            </m:sub>
                          </m:sSub>
                          <m:r>
                            <m:rPr>
                              <m:sty m:val="bi"/>
                            </m:rPr>
                            <w:rPr>
                              <w:rFonts w:ascii="Cambria Math" w:hAnsi="Cambria Math" w:cs="Arial"/>
                              <w:sz w:val="18"/>
                              <w:szCs w:val="16"/>
                              <w:lang w:val="es-CO"/>
                            </w:rPr>
                            <m:t>*VN</m:t>
                          </m:r>
                          <m:sSub>
                            <m:sSubPr>
                              <m:ctrlPr>
                                <w:rPr>
                                  <w:rFonts w:ascii="Cambria Math" w:hAnsi="Cambria Math" w:cs="Arial"/>
                                  <w:b/>
                                  <w:i/>
                                  <w:sz w:val="18"/>
                                  <w:szCs w:val="16"/>
                                  <w:lang w:val="es-CO"/>
                                </w:rPr>
                              </m:ctrlPr>
                            </m:sSubPr>
                            <m:e>
                              <m:r>
                                <m:rPr>
                                  <m:sty m:val="bi"/>
                                </m:rPr>
                                <w:rPr>
                                  <w:rFonts w:ascii="Cambria Math" w:hAnsi="Cambria Math" w:cs="Arial"/>
                                  <w:sz w:val="18"/>
                                  <w:szCs w:val="16"/>
                                  <w:lang w:val="es-CO"/>
                                </w:rPr>
                                <m:t>E</m:t>
                              </m:r>
                            </m:e>
                            <m:sub>
                              <m:r>
                                <m:rPr>
                                  <m:sty m:val="bi"/>
                                </m:rPr>
                                <w:rPr>
                                  <w:rFonts w:ascii="Cambria Math" w:hAnsi="Cambria Math" w:cs="Arial"/>
                                  <w:sz w:val="18"/>
                                  <w:szCs w:val="16"/>
                                  <w:lang w:val="es-CO"/>
                                </w:rPr>
                                <m:t>i</m:t>
                              </m:r>
                            </m:sub>
                          </m:sSub>
                        </m:e>
                      </m:nary>
                    </m:e>
                  </m:d>
                </m:e>
                <m:sub>
                  <m:r>
                    <m:rPr>
                      <m:sty m:val="bi"/>
                    </m:rPr>
                    <w:rPr>
                      <w:rFonts w:ascii="Cambria Math" w:hAnsi="Cambria Math" w:cs="Arial"/>
                      <w:sz w:val="18"/>
                      <w:szCs w:val="16"/>
                      <w:lang w:val="es-CO"/>
                    </w:rPr>
                    <m:t>j</m:t>
                  </m:r>
                </m:sub>
              </m:sSub>
              <m:r>
                <m:rPr>
                  <m:sty m:val="bi"/>
                </m:rPr>
                <w:rPr>
                  <w:rFonts w:ascii="Cambria Math" w:hAnsi="Cambria Math" w:cs="Arial"/>
                  <w:sz w:val="18"/>
                  <w:szCs w:val="16"/>
                  <w:lang w:val="es-CO"/>
                </w:rPr>
                <m:t>+</m:t>
              </m:r>
            </m:e>
          </m:nary>
          <m:sSub>
            <m:sSubPr>
              <m:ctrlPr>
                <w:rPr>
                  <w:rFonts w:ascii="Cambria Math" w:hAnsi="Cambria Math" w:cs="Arial"/>
                  <w:b/>
                  <w:i/>
                  <w:sz w:val="18"/>
                  <w:szCs w:val="16"/>
                  <w:lang w:val="es-CO"/>
                </w:rPr>
              </m:ctrlPr>
            </m:sSubPr>
            <m:e>
              <m:r>
                <m:rPr>
                  <m:sty m:val="bi"/>
                </m:rPr>
                <w:rPr>
                  <w:rFonts w:ascii="Cambria Math" w:hAnsi="Cambria Math" w:cs="Arial"/>
                  <w:sz w:val="18"/>
                  <w:szCs w:val="16"/>
                  <w:lang w:val="es-CO"/>
                </w:rPr>
                <m:t>EPF</m:t>
              </m:r>
            </m:e>
            <m:sub>
              <m:r>
                <m:rPr>
                  <m:sty m:val="bi"/>
                </m:rPr>
                <w:rPr>
                  <w:rFonts w:ascii="Cambria Math" w:hAnsi="Cambria Math" w:cs="Arial"/>
                  <w:sz w:val="18"/>
                  <w:szCs w:val="16"/>
                  <w:lang w:val="es-CO"/>
                </w:rPr>
                <m:t>Tasas de Interés</m:t>
              </m:r>
            </m:sub>
          </m:sSub>
        </m:oMath>
      </m:oMathPara>
    </w:p>
    <w:p w14:paraId="5BBDA41C" w14:textId="7216C1AB" w:rsidR="00D273CD" w:rsidRPr="00476FE6" w:rsidRDefault="00D273CD" w:rsidP="009F30D1">
      <w:pPr>
        <w:tabs>
          <w:tab w:val="left" w:pos="851"/>
          <w:tab w:val="left" w:pos="1701"/>
        </w:tabs>
        <w:ind w:left="567" w:hanging="564"/>
        <w:jc w:val="center"/>
        <w:rPr>
          <w:rFonts w:cs="Arial"/>
          <w:b/>
          <w:sz w:val="18"/>
          <w:szCs w:val="18"/>
          <w:lang w:val="es-CO"/>
        </w:rPr>
      </w:pPr>
    </w:p>
    <w:p w14:paraId="300266C5" w14:textId="70773CB6" w:rsidR="000071D0" w:rsidRDefault="000071D0" w:rsidP="000071D0">
      <w:pPr>
        <w:tabs>
          <w:tab w:val="left" w:pos="851"/>
          <w:tab w:val="left" w:pos="1701"/>
        </w:tabs>
        <w:ind w:left="567" w:hanging="567"/>
        <w:rPr>
          <w:rFonts w:cs="Arial"/>
          <w:b/>
          <w:sz w:val="16"/>
          <w:szCs w:val="16"/>
          <w:lang w:val="es-ES"/>
        </w:rPr>
      </w:pPr>
      <w:r w:rsidRPr="00BB03BE">
        <w:rPr>
          <w:rFonts w:cs="Arial"/>
          <w:b/>
          <w:sz w:val="16"/>
          <w:szCs w:val="16"/>
          <w:lang w:val="es-ES"/>
        </w:rPr>
        <w:t xml:space="preserve">j     </w:t>
      </w:r>
      <w:r>
        <w:rPr>
          <w:rFonts w:cs="Arial"/>
          <w:b/>
          <w:sz w:val="16"/>
          <w:szCs w:val="16"/>
          <w:lang w:val="es-ES"/>
        </w:rPr>
        <w:t xml:space="preserve">    </w:t>
      </w:r>
      <w:r w:rsidRPr="001F38A5">
        <w:rPr>
          <w:rFonts w:cs="Arial"/>
          <w:b/>
          <w:sz w:val="16"/>
          <w:szCs w:val="16"/>
          <w:lang w:val="es-ES"/>
        </w:rPr>
        <w:t>= j-</w:t>
      </w:r>
      <w:proofErr w:type="spellStart"/>
      <w:r w:rsidRPr="001F38A5">
        <w:rPr>
          <w:rFonts w:cs="Arial"/>
          <w:b/>
          <w:sz w:val="16"/>
          <w:szCs w:val="16"/>
          <w:lang w:val="es-ES"/>
        </w:rPr>
        <w:t>ésima</w:t>
      </w:r>
      <w:proofErr w:type="spellEnd"/>
      <w:r w:rsidRPr="001F38A5">
        <w:rPr>
          <w:rFonts w:cs="Arial"/>
          <w:b/>
          <w:sz w:val="16"/>
          <w:szCs w:val="16"/>
          <w:lang w:val="es-ES"/>
        </w:rPr>
        <w:t xml:space="preserve"> categoría de neteo </w:t>
      </w:r>
      <w:r w:rsidR="00195FC4" w:rsidRPr="001F38A5">
        <w:rPr>
          <w:rFonts w:cs="Arial"/>
          <w:b/>
          <w:sz w:val="16"/>
          <w:szCs w:val="16"/>
          <w:lang w:val="es-ES"/>
        </w:rPr>
        <w:t xml:space="preserve">según el </w:t>
      </w:r>
      <w:r w:rsidR="00004D1E" w:rsidRPr="001F38A5">
        <w:rPr>
          <w:rFonts w:cs="Arial"/>
          <w:b/>
          <w:sz w:val="16"/>
          <w:szCs w:val="16"/>
          <w:lang w:val="es-ES"/>
        </w:rPr>
        <w:t>tipo de subyacente</w:t>
      </w:r>
      <w:r w:rsidRPr="001F38A5">
        <w:rPr>
          <w:rFonts w:cs="Arial"/>
          <w:b/>
          <w:sz w:val="16"/>
          <w:szCs w:val="16"/>
          <w:lang w:val="es-ES"/>
        </w:rPr>
        <w:t>, de acuerdo con las</w:t>
      </w:r>
      <w:r w:rsidR="00F21672">
        <w:rPr>
          <w:rFonts w:cs="Arial"/>
          <w:b/>
          <w:sz w:val="16"/>
          <w:szCs w:val="16"/>
          <w:lang w:val="es-ES"/>
        </w:rPr>
        <w:t xml:space="preserve"> categorías 1 a 5</w:t>
      </w:r>
      <w:r w:rsidR="00B52696">
        <w:rPr>
          <w:rFonts w:cs="Arial"/>
          <w:b/>
          <w:sz w:val="16"/>
          <w:szCs w:val="16"/>
          <w:lang w:val="es-ES"/>
        </w:rPr>
        <w:t xml:space="preserve"> definidas a continuación</w:t>
      </w:r>
      <w:r w:rsidR="004E2A52" w:rsidRPr="001F38A5">
        <w:rPr>
          <w:rFonts w:cs="Arial"/>
          <w:b/>
          <w:sz w:val="16"/>
          <w:szCs w:val="16"/>
          <w:lang w:val="es-ES"/>
        </w:rPr>
        <w:t>:</w:t>
      </w:r>
      <w:r w:rsidRPr="001F38A5">
        <w:rPr>
          <w:rFonts w:cs="Arial"/>
          <w:b/>
          <w:sz w:val="16"/>
          <w:szCs w:val="16"/>
          <w:lang w:val="es-ES"/>
        </w:rPr>
        <w:t xml:space="preserve"> </w:t>
      </w:r>
    </w:p>
    <w:p w14:paraId="61E2D814" w14:textId="77777777" w:rsidR="00F65EDF" w:rsidRDefault="00F65EDF" w:rsidP="000071D0">
      <w:pPr>
        <w:tabs>
          <w:tab w:val="left" w:pos="851"/>
          <w:tab w:val="left" w:pos="1701"/>
        </w:tabs>
        <w:ind w:left="567" w:hanging="567"/>
        <w:rPr>
          <w:rFonts w:cs="Arial"/>
          <w:b/>
          <w:sz w:val="16"/>
          <w:szCs w:val="16"/>
          <w:lang w:val="es-ES"/>
        </w:rPr>
        <w:sectPr w:rsidR="00F65EDF" w:rsidSect="007479EE">
          <w:headerReference w:type="default" r:id="rId16"/>
          <w:pgSz w:w="12242" w:h="18711" w:code="166"/>
          <w:pgMar w:top="1701" w:right="1701" w:bottom="1701" w:left="1701" w:header="680" w:footer="1076" w:gutter="0"/>
          <w:paperSrc w:first="3" w:other="3"/>
          <w:pgNumType w:start="20"/>
          <w:cols w:space="720"/>
          <w:noEndnote/>
          <w:docGrid w:linePitch="326"/>
        </w:sectPr>
      </w:pPr>
    </w:p>
    <w:p w14:paraId="50DA0DD9" w14:textId="2180C6B9" w:rsidR="000071D0" w:rsidRPr="001F38A5" w:rsidRDefault="00BC7B0E" w:rsidP="004E359F">
      <w:pPr>
        <w:tabs>
          <w:tab w:val="left" w:pos="851"/>
          <w:tab w:val="left" w:pos="1701"/>
        </w:tabs>
        <w:rPr>
          <w:rFonts w:cs="Arial"/>
          <w:b/>
          <w:sz w:val="16"/>
          <w:szCs w:val="16"/>
          <w:lang w:val="es-ES"/>
        </w:rPr>
      </w:pPr>
      <w:r>
        <w:rPr>
          <w:rFonts w:cs="Arial"/>
          <w:b/>
          <w:noProof/>
          <w:sz w:val="16"/>
          <w:szCs w:val="16"/>
          <w:lang w:val="es-ES"/>
        </w:rPr>
        <w:lastRenderedPageBreak/>
        <mc:AlternateContent>
          <mc:Choice Requires="wps">
            <w:drawing>
              <wp:anchor distT="0" distB="0" distL="114300" distR="114300" simplePos="0" relativeHeight="251668480" behindDoc="0" locked="0" layoutInCell="1" allowOverlap="1" wp14:anchorId="50D9C647" wp14:editId="6CA0EC2A">
                <wp:simplePos x="0" y="0"/>
                <wp:positionH relativeFrom="column">
                  <wp:posOffset>-99695</wp:posOffset>
                </wp:positionH>
                <wp:positionV relativeFrom="paragraph">
                  <wp:posOffset>95250</wp:posOffset>
                </wp:positionV>
                <wp:extent cx="0" cy="8532000"/>
                <wp:effectExtent l="0" t="0" r="38100" b="21590"/>
                <wp:wrapNone/>
                <wp:docPr id="7" name="Conector recto 7"/>
                <wp:cNvGraphicFramePr/>
                <a:graphic xmlns:a="http://schemas.openxmlformats.org/drawingml/2006/main">
                  <a:graphicData uri="http://schemas.microsoft.com/office/word/2010/wordprocessingShape">
                    <wps:wsp>
                      <wps:cNvCnPr/>
                      <wps:spPr>
                        <a:xfrm flipH="1">
                          <a:off x="0" y="0"/>
                          <a:ext cx="0" cy="853200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183C9D" id="Conector recto 7"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5pt,7.5pt" to="-7.85pt,67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" strokecolor="black [3213]" strokeweight=".25pt">
                <v:stroke joinstyle="miter"/>
              </v:line>
            </w:pict>
          </mc:Fallback>
        </mc:AlternateContent>
      </w:r>
    </w:p>
    <w:p w14:paraId="58520BE8" w14:textId="39418464" w:rsidR="000071D0" w:rsidRPr="00F65EDF" w:rsidRDefault="000071D0" w:rsidP="005347C1">
      <w:pPr>
        <w:pStyle w:val="Prrafodelista"/>
        <w:numPr>
          <w:ilvl w:val="0"/>
          <w:numId w:val="46"/>
        </w:numPr>
        <w:tabs>
          <w:tab w:val="left" w:pos="851"/>
          <w:tab w:val="left" w:pos="1701"/>
        </w:tabs>
        <w:ind w:left="851" w:hanging="284"/>
        <w:rPr>
          <w:rFonts w:cs="Arial"/>
          <w:b/>
          <w:sz w:val="16"/>
          <w:szCs w:val="16"/>
          <w:lang w:val="es-ES"/>
        </w:rPr>
      </w:pPr>
      <w:r w:rsidRPr="00F65EDF">
        <w:rPr>
          <w:rFonts w:cs="Arial"/>
          <w:b/>
          <w:sz w:val="16"/>
          <w:szCs w:val="16"/>
          <w:lang w:val="es-ES"/>
        </w:rPr>
        <w:t>Instrumentos Financieros Derivados sobre Acciones Globales</w:t>
      </w:r>
    </w:p>
    <w:p w14:paraId="5E9FA775" w14:textId="1FB20CEB" w:rsidR="000071D0" w:rsidRPr="001F38A5" w:rsidRDefault="000071D0" w:rsidP="00084236">
      <w:pPr>
        <w:pStyle w:val="Prrafodelista"/>
        <w:numPr>
          <w:ilvl w:val="0"/>
          <w:numId w:val="46"/>
        </w:numPr>
        <w:tabs>
          <w:tab w:val="left" w:pos="851"/>
          <w:tab w:val="left" w:pos="1701"/>
        </w:tabs>
        <w:ind w:left="851" w:hanging="284"/>
        <w:rPr>
          <w:rFonts w:cs="Arial"/>
          <w:b/>
          <w:sz w:val="16"/>
          <w:szCs w:val="16"/>
          <w:lang w:val="es-ES"/>
        </w:rPr>
      </w:pPr>
      <w:r w:rsidRPr="001F38A5">
        <w:rPr>
          <w:rFonts w:cs="Arial"/>
          <w:b/>
          <w:sz w:val="16"/>
          <w:szCs w:val="16"/>
          <w:lang w:val="es-ES"/>
        </w:rPr>
        <w:t>Instrumentos Financieros Derivados sobre Acciones Colombia</w:t>
      </w:r>
    </w:p>
    <w:p w14:paraId="5FB53FCB" w14:textId="5077666D" w:rsidR="000071D0" w:rsidRPr="001F38A5" w:rsidRDefault="000071D0" w:rsidP="00084236">
      <w:pPr>
        <w:pStyle w:val="Prrafodelista"/>
        <w:numPr>
          <w:ilvl w:val="0"/>
          <w:numId w:val="46"/>
        </w:numPr>
        <w:tabs>
          <w:tab w:val="left" w:pos="851"/>
          <w:tab w:val="left" w:pos="1701"/>
        </w:tabs>
        <w:ind w:left="851" w:hanging="284"/>
        <w:rPr>
          <w:rFonts w:cs="Arial"/>
          <w:b/>
          <w:sz w:val="16"/>
          <w:szCs w:val="16"/>
          <w:lang w:val="es-ES"/>
        </w:rPr>
      </w:pPr>
      <w:r w:rsidRPr="66B220A0">
        <w:rPr>
          <w:rFonts w:cs="Arial"/>
          <w:b/>
          <w:bCs/>
          <w:sz w:val="16"/>
          <w:szCs w:val="16"/>
          <w:lang w:val="es-ES"/>
        </w:rPr>
        <w:t xml:space="preserve">Instrumentos Financieros Derivados sobre </w:t>
      </w:r>
      <w:proofErr w:type="spellStart"/>
      <w:r w:rsidRPr="66B220A0">
        <w:rPr>
          <w:rFonts w:cs="Arial"/>
          <w:b/>
          <w:bCs/>
          <w:i/>
          <w:iCs/>
          <w:sz w:val="16"/>
          <w:szCs w:val="16"/>
          <w:lang w:val="es-ES"/>
        </w:rPr>
        <w:t>Commodities</w:t>
      </w:r>
      <w:proofErr w:type="spellEnd"/>
      <w:r w:rsidR="00B16724" w:rsidRPr="66B220A0">
        <w:rPr>
          <w:rFonts w:cs="Arial"/>
          <w:b/>
          <w:bCs/>
          <w:i/>
          <w:iCs/>
          <w:sz w:val="16"/>
          <w:szCs w:val="16"/>
          <w:lang w:val="es-ES"/>
        </w:rPr>
        <w:t>.</w:t>
      </w:r>
    </w:p>
    <w:p w14:paraId="475D2596" w14:textId="7A961B33" w:rsidR="000071D0" w:rsidRPr="001F38A5" w:rsidRDefault="000071D0" w:rsidP="00084236">
      <w:pPr>
        <w:pStyle w:val="Prrafodelista"/>
        <w:numPr>
          <w:ilvl w:val="0"/>
          <w:numId w:val="46"/>
        </w:numPr>
        <w:tabs>
          <w:tab w:val="left" w:pos="851"/>
          <w:tab w:val="left" w:pos="1701"/>
        </w:tabs>
        <w:ind w:left="851" w:hanging="284"/>
        <w:rPr>
          <w:rFonts w:cs="Arial"/>
          <w:b/>
          <w:sz w:val="16"/>
          <w:szCs w:val="16"/>
          <w:lang w:val="es-ES"/>
        </w:rPr>
      </w:pPr>
      <w:r w:rsidRPr="66B220A0">
        <w:rPr>
          <w:rFonts w:cs="Arial"/>
          <w:b/>
          <w:bCs/>
          <w:sz w:val="16"/>
          <w:szCs w:val="16"/>
          <w:lang w:val="es-ES"/>
        </w:rPr>
        <w:t>Instrumentos Financieros Derivados sobre Monedas.</w:t>
      </w:r>
    </w:p>
    <w:p w14:paraId="5BFB8E73" w14:textId="03A5A83D" w:rsidR="000071D0" w:rsidRPr="00FA1259" w:rsidRDefault="000071D0" w:rsidP="00084236">
      <w:pPr>
        <w:pStyle w:val="Prrafodelista"/>
        <w:numPr>
          <w:ilvl w:val="0"/>
          <w:numId w:val="46"/>
        </w:numPr>
        <w:tabs>
          <w:tab w:val="left" w:pos="851"/>
          <w:tab w:val="left" w:pos="1701"/>
        </w:tabs>
        <w:ind w:left="851" w:hanging="284"/>
        <w:rPr>
          <w:rFonts w:cs="Arial"/>
          <w:b/>
          <w:sz w:val="16"/>
          <w:szCs w:val="16"/>
          <w:lang w:val="es-ES"/>
        </w:rPr>
      </w:pPr>
      <w:r w:rsidRPr="66B220A0">
        <w:rPr>
          <w:rFonts w:cs="Arial"/>
          <w:b/>
          <w:bCs/>
          <w:sz w:val="16"/>
          <w:szCs w:val="16"/>
          <w:lang w:val="es-ES"/>
        </w:rPr>
        <w:t xml:space="preserve">Instrumentos Financieros </w:t>
      </w:r>
      <w:r w:rsidR="00DE6403" w:rsidRPr="66B220A0">
        <w:rPr>
          <w:rFonts w:cs="Arial"/>
          <w:b/>
          <w:bCs/>
          <w:sz w:val="16"/>
          <w:szCs w:val="16"/>
          <w:lang w:val="es-ES"/>
        </w:rPr>
        <w:t xml:space="preserve">con </w:t>
      </w:r>
      <w:r w:rsidRPr="66B220A0">
        <w:rPr>
          <w:rFonts w:cs="Arial"/>
          <w:b/>
          <w:bCs/>
          <w:sz w:val="16"/>
          <w:szCs w:val="16"/>
          <w:lang w:val="es-ES"/>
        </w:rPr>
        <w:t>Derivados de Crédito</w:t>
      </w:r>
      <w:r w:rsidRPr="66B220A0">
        <w:rPr>
          <w:rFonts w:cs="Arial"/>
          <w:b/>
          <w:bCs/>
          <w:i/>
          <w:iCs/>
          <w:sz w:val="16"/>
          <w:szCs w:val="16"/>
          <w:lang w:val="es-ES"/>
        </w:rPr>
        <w:t>.</w:t>
      </w:r>
    </w:p>
    <w:p w14:paraId="51047CA2" w14:textId="3332DB4B" w:rsidR="00BD4536" w:rsidRPr="001F38A5" w:rsidRDefault="00BD4536" w:rsidP="00084236">
      <w:pPr>
        <w:pStyle w:val="Prrafodelista"/>
        <w:numPr>
          <w:ilvl w:val="0"/>
          <w:numId w:val="46"/>
        </w:numPr>
        <w:tabs>
          <w:tab w:val="left" w:pos="851"/>
          <w:tab w:val="left" w:pos="1701"/>
        </w:tabs>
        <w:ind w:left="851" w:hanging="284"/>
        <w:rPr>
          <w:rFonts w:cs="Arial"/>
          <w:b/>
          <w:bCs/>
          <w:sz w:val="16"/>
          <w:szCs w:val="16"/>
          <w:lang w:val="es-ES"/>
        </w:rPr>
      </w:pPr>
      <w:r w:rsidRPr="66B220A0">
        <w:rPr>
          <w:rFonts w:cs="Arial"/>
          <w:b/>
          <w:bCs/>
          <w:sz w:val="16"/>
          <w:szCs w:val="16"/>
          <w:lang w:val="es-ES"/>
        </w:rPr>
        <w:t xml:space="preserve">Instrumentos Financieros Derivados sobre Tasas de Interés. Para esta categoría de neteo se deben categorizar las posiciones de acuerdo con el parámetro M definido en el </w:t>
      </w:r>
      <w:r w:rsidR="008347E8">
        <w:rPr>
          <w:rFonts w:cs="Arial"/>
          <w:b/>
          <w:bCs/>
          <w:sz w:val="16"/>
          <w:szCs w:val="16"/>
          <w:lang w:val="es-ES"/>
        </w:rPr>
        <w:t>sub</w:t>
      </w:r>
      <w:r w:rsidRPr="66B220A0">
        <w:rPr>
          <w:rFonts w:cs="Arial"/>
          <w:b/>
          <w:bCs/>
          <w:sz w:val="16"/>
          <w:szCs w:val="16"/>
          <w:lang w:val="es-ES"/>
        </w:rPr>
        <w:t xml:space="preserve">numeral 1.7 del presente Anexo, en </w:t>
      </w:r>
      <w:r>
        <w:rPr>
          <w:rFonts w:cs="Arial"/>
          <w:b/>
          <w:bCs/>
          <w:sz w:val="16"/>
          <w:szCs w:val="16"/>
          <w:lang w:val="es-ES"/>
        </w:rPr>
        <w:t xml:space="preserve">las </w:t>
      </w:r>
      <w:r w:rsidRPr="66B220A0">
        <w:rPr>
          <w:rFonts w:cs="Arial"/>
          <w:b/>
          <w:bCs/>
          <w:sz w:val="16"/>
          <w:szCs w:val="16"/>
          <w:lang w:val="es-ES"/>
        </w:rPr>
        <w:t xml:space="preserve">siguientes </w:t>
      </w:r>
      <w:r>
        <w:rPr>
          <w:rFonts w:cs="Arial"/>
          <w:b/>
          <w:bCs/>
          <w:sz w:val="16"/>
          <w:szCs w:val="16"/>
          <w:lang w:val="es-ES"/>
        </w:rPr>
        <w:t>bandas</w:t>
      </w:r>
      <w:r w:rsidR="00801B2C">
        <w:rPr>
          <w:rFonts w:cs="Arial"/>
          <w:b/>
          <w:bCs/>
          <w:sz w:val="16"/>
          <w:szCs w:val="16"/>
          <w:lang w:val="es-ES"/>
        </w:rPr>
        <w:t xml:space="preserve"> de tiempo</w:t>
      </w:r>
      <w:r w:rsidRPr="66B220A0">
        <w:rPr>
          <w:rFonts w:cs="Arial"/>
          <w:b/>
          <w:bCs/>
          <w:sz w:val="16"/>
          <w:szCs w:val="16"/>
          <w:lang w:val="es-ES"/>
        </w:rPr>
        <w:t>:</w:t>
      </w:r>
    </w:p>
    <w:p w14:paraId="342E427F" w14:textId="19124771" w:rsidR="00BD4536" w:rsidRPr="001F38A5" w:rsidRDefault="00BD4536" w:rsidP="00A51771">
      <w:pPr>
        <w:pStyle w:val="Prrafodelista"/>
        <w:numPr>
          <w:ilvl w:val="1"/>
          <w:numId w:val="46"/>
        </w:numPr>
        <w:tabs>
          <w:tab w:val="left" w:pos="851"/>
          <w:tab w:val="left" w:pos="1701"/>
        </w:tabs>
        <w:ind w:left="1134" w:hanging="283"/>
        <w:rPr>
          <w:rFonts w:cs="Arial"/>
          <w:b/>
          <w:bCs/>
          <w:sz w:val="16"/>
          <w:szCs w:val="16"/>
          <w:lang w:val="es-ES"/>
        </w:rPr>
      </w:pPr>
      <w:r w:rsidRPr="66B220A0">
        <w:rPr>
          <w:rFonts w:cs="Arial"/>
          <w:b/>
          <w:bCs/>
          <w:sz w:val="16"/>
          <w:szCs w:val="16"/>
          <w:lang w:val="es-ES"/>
        </w:rPr>
        <w:t>Inferior a 1 año</w:t>
      </w:r>
      <w:r>
        <w:rPr>
          <w:rFonts w:cs="Arial"/>
          <w:b/>
          <w:bCs/>
          <w:sz w:val="16"/>
          <w:szCs w:val="16"/>
          <w:lang w:val="es-ES"/>
        </w:rPr>
        <w:t xml:space="preserve"> (Banda 1</w:t>
      </w:r>
      <w:r w:rsidR="00F11CA6">
        <w:rPr>
          <w:rFonts w:cs="Arial"/>
          <w:b/>
          <w:bCs/>
          <w:sz w:val="16"/>
          <w:szCs w:val="16"/>
          <w:lang w:val="es-ES"/>
        </w:rPr>
        <w:t xml:space="preserve"> – B1</w:t>
      </w:r>
      <w:r>
        <w:rPr>
          <w:rFonts w:cs="Arial"/>
          <w:b/>
          <w:bCs/>
          <w:sz w:val="16"/>
          <w:szCs w:val="16"/>
          <w:lang w:val="es-ES"/>
        </w:rPr>
        <w:t>)</w:t>
      </w:r>
    </w:p>
    <w:p w14:paraId="6DB9CE56" w14:textId="048EC787" w:rsidR="00BD4536" w:rsidRPr="001F38A5" w:rsidRDefault="00BD4536" w:rsidP="00A51771">
      <w:pPr>
        <w:pStyle w:val="Prrafodelista"/>
        <w:numPr>
          <w:ilvl w:val="1"/>
          <w:numId w:val="46"/>
        </w:numPr>
        <w:tabs>
          <w:tab w:val="left" w:pos="851"/>
          <w:tab w:val="left" w:pos="1701"/>
        </w:tabs>
        <w:ind w:left="1134" w:hanging="283"/>
        <w:rPr>
          <w:rFonts w:cs="Arial"/>
          <w:b/>
          <w:bCs/>
          <w:sz w:val="16"/>
          <w:szCs w:val="16"/>
          <w:lang w:val="es-ES"/>
        </w:rPr>
      </w:pPr>
      <w:r w:rsidRPr="66B220A0">
        <w:rPr>
          <w:rFonts w:cs="Arial"/>
          <w:b/>
          <w:bCs/>
          <w:sz w:val="16"/>
          <w:szCs w:val="16"/>
          <w:lang w:val="es-ES"/>
        </w:rPr>
        <w:t>Entre 1 y 5 años</w:t>
      </w:r>
      <w:r>
        <w:rPr>
          <w:rFonts w:cs="Arial"/>
          <w:b/>
          <w:bCs/>
          <w:sz w:val="16"/>
          <w:szCs w:val="16"/>
          <w:lang w:val="es-ES"/>
        </w:rPr>
        <w:t xml:space="preserve"> (Banda 2</w:t>
      </w:r>
      <w:r w:rsidR="00F11CA6">
        <w:rPr>
          <w:rFonts w:cs="Arial"/>
          <w:b/>
          <w:bCs/>
          <w:sz w:val="16"/>
          <w:szCs w:val="16"/>
          <w:lang w:val="es-ES"/>
        </w:rPr>
        <w:t xml:space="preserve"> – B2</w:t>
      </w:r>
      <w:r>
        <w:rPr>
          <w:rFonts w:cs="Arial"/>
          <w:b/>
          <w:bCs/>
          <w:sz w:val="16"/>
          <w:szCs w:val="16"/>
          <w:lang w:val="es-ES"/>
        </w:rPr>
        <w:t>)</w:t>
      </w:r>
    </w:p>
    <w:p w14:paraId="0C2DAF08" w14:textId="19FDB4A4" w:rsidR="00BD4536" w:rsidRPr="001F38A5" w:rsidRDefault="00BD4536" w:rsidP="00A51771">
      <w:pPr>
        <w:pStyle w:val="Prrafodelista"/>
        <w:numPr>
          <w:ilvl w:val="1"/>
          <w:numId w:val="46"/>
        </w:numPr>
        <w:tabs>
          <w:tab w:val="left" w:pos="851"/>
          <w:tab w:val="left" w:pos="1701"/>
        </w:tabs>
        <w:ind w:left="1134" w:hanging="283"/>
        <w:rPr>
          <w:rFonts w:cs="Arial"/>
          <w:b/>
          <w:bCs/>
          <w:sz w:val="16"/>
          <w:szCs w:val="16"/>
          <w:lang w:val="es-ES"/>
        </w:rPr>
      </w:pPr>
      <w:r w:rsidRPr="66B220A0">
        <w:rPr>
          <w:rFonts w:cs="Arial"/>
          <w:b/>
          <w:bCs/>
          <w:sz w:val="16"/>
          <w:szCs w:val="16"/>
          <w:lang w:val="es-ES"/>
        </w:rPr>
        <w:t>Mayor a 5 años</w:t>
      </w:r>
      <w:r>
        <w:rPr>
          <w:rFonts w:cs="Arial"/>
          <w:b/>
          <w:bCs/>
          <w:sz w:val="16"/>
          <w:szCs w:val="16"/>
          <w:lang w:val="es-ES"/>
        </w:rPr>
        <w:t xml:space="preserve"> (Banda 3</w:t>
      </w:r>
      <w:r w:rsidR="00F11CA6">
        <w:rPr>
          <w:rFonts w:cs="Arial"/>
          <w:b/>
          <w:bCs/>
          <w:sz w:val="16"/>
          <w:szCs w:val="16"/>
          <w:lang w:val="es-ES"/>
        </w:rPr>
        <w:t xml:space="preserve"> – B3</w:t>
      </w:r>
      <w:r>
        <w:rPr>
          <w:rFonts w:cs="Arial"/>
          <w:b/>
          <w:bCs/>
          <w:sz w:val="16"/>
          <w:szCs w:val="16"/>
          <w:lang w:val="es-ES"/>
        </w:rPr>
        <w:t>)</w:t>
      </w:r>
    </w:p>
    <w:p w14:paraId="447B80AE" w14:textId="77777777" w:rsidR="00BD4536" w:rsidRPr="001F38A5" w:rsidRDefault="00BD4536" w:rsidP="00220D8C">
      <w:pPr>
        <w:pStyle w:val="Prrafodelista"/>
        <w:tabs>
          <w:tab w:val="left" w:pos="851"/>
          <w:tab w:val="left" w:pos="1701"/>
        </w:tabs>
        <w:ind w:left="1290"/>
        <w:rPr>
          <w:rFonts w:cs="Arial"/>
          <w:b/>
          <w:sz w:val="16"/>
          <w:szCs w:val="16"/>
          <w:lang w:val="es-ES"/>
        </w:rPr>
      </w:pPr>
    </w:p>
    <w:p w14:paraId="533193DD" w14:textId="3791F974" w:rsidR="000071D0" w:rsidRDefault="000071D0" w:rsidP="009F30D1">
      <w:pPr>
        <w:tabs>
          <w:tab w:val="left" w:pos="851"/>
          <w:tab w:val="left" w:pos="1701"/>
        </w:tabs>
        <w:ind w:left="567" w:hanging="567"/>
        <w:rPr>
          <w:rFonts w:cs="Arial"/>
          <w:b/>
          <w:sz w:val="16"/>
          <w:szCs w:val="16"/>
          <w:lang w:val="es-ES"/>
        </w:rPr>
      </w:pPr>
    </w:p>
    <w:p w14:paraId="761BA237" w14:textId="2F36C653" w:rsidR="00BD4536" w:rsidRDefault="00BD4536" w:rsidP="009F30D1">
      <w:pPr>
        <w:tabs>
          <w:tab w:val="left" w:pos="851"/>
          <w:tab w:val="left" w:pos="1701"/>
        </w:tabs>
        <w:ind w:left="567" w:hanging="567"/>
        <w:rPr>
          <w:rFonts w:cs="Arial"/>
          <w:b/>
          <w:sz w:val="18"/>
          <w:szCs w:val="16"/>
          <w:lang w:val="es-CO"/>
        </w:rPr>
      </w:pPr>
      <w:r>
        <w:rPr>
          <w:rFonts w:cs="Arial"/>
          <w:b/>
          <w:sz w:val="16"/>
          <w:szCs w:val="16"/>
          <w:lang w:val="es-ES"/>
        </w:rPr>
        <w:tab/>
        <w:t>Para la categoría de neteo de Tasa de Interés, se debe escoger alguna de las siguientes dos fórmulas para</w:t>
      </w:r>
      <w:r w:rsidR="00720AF0">
        <w:rPr>
          <w:rFonts w:cs="Arial"/>
          <w:b/>
          <w:sz w:val="16"/>
          <w:szCs w:val="16"/>
          <w:lang w:val="es-ES"/>
        </w:rPr>
        <w:t xml:space="preserve"> la agregación de las exposiciones entre bandas y el</w:t>
      </w:r>
      <w:r>
        <w:rPr>
          <w:rFonts w:cs="Arial"/>
          <w:b/>
          <w:sz w:val="16"/>
          <w:szCs w:val="16"/>
          <w:lang w:val="es-ES"/>
        </w:rPr>
        <w:t xml:space="preserve"> cálculo de la </w:t>
      </w:r>
      <m:oMath>
        <m:sSub>
          <m:sSubPr>
            <m:ctrlPr>
              <w:rPr>
                <w:rFonts w:ascii="Cambria Math" w:hAnsi="Cambria Math" w:cs="Arial"/>
                <w:b/>
                <w:i/>
                <w:sz w:val="18"/>
                <w:szCs w:val="16"/>
                <w:lang w:val="es-CO"/>
              </w:rPr>
            </m:ctrlPr>
          </m:sSubPr>
          <m:e>
            <m:r>
              <m:rPr>
                <m:sty m:val="bi"/>
              </m:rPr>
              <w:rPr>
                <w:rFonts w:ascii="Cambria Math" w:hAnsi="Cambria Math" w:cs="Arial"/>
                <w:sz w:val="18"/>
                <w:szCs w:val="16"/>
                <w:lang w:val="es-CO"/>
              </w:rPr>
              <m:t>EPF</m:t>
            </m:r>
          </m:e>
          <m:sub>
            <m:r>
              <m:rPr>
                <m:sty m:val="bi"/>
              </m:rPr>
              <w:rPr>
                <w:rFonts w:ascii="Cambria Math" w:hAnsi="Cambria Math" w:cs="Arial"/>
                <w:sz w:val="18"/>
                <w:szCs w:val="16"/>
                <w:lang w:val="es-CO"/>
              </w:rPr>
              <m:t>Tasas de Interés</m:t>
            </m:r>
          </m:sub>
        </m:sSub>
      </m:oMath>
      <w:r w:rsidRPr="001714D5">
        <w:rPr>
          <w:rFonts w:cs="Arial"/>
          <w:b/>
          <w:sz w:val="18"/>
          <w:szCs w:val="16"/>
          <w:lang w:val="es-CO"/>
        </w:rPr>
        <w:t xml:space="preserve">: </w:t>
      </w:r>
    </w:p>
    <w:p w14:paraId="330CE28C" w14:textId="105BF00D" w:rsidR="00BD4536" w:rsidRDefault="00BD4536" w:rsidP="009F30D1">
      <w:pPr>
        <w:tabs>
          <w:tab w:val="left" w:pos="851"/>
          <w:tab w:val="left" w:pos="1701"/>
        </w:tabs>
        <w:ind w:left="567" w:hanging="567"/>
        <w:rPr>
          <w:rFonts w:cs="Arial"/>
          <w:b/>
          <w:sz w:val="16"/>
          <w:szCs w:val="16"/>
          <w:lang w:val="es-ES"/>
        </w:rPr>
      </w:pPr>
    </w:p>
    <w:p w14:paraId="3214D85F" w14:textId="3D8F2A7B" w:rsidR="00BD4536" w:rsidRDefault="00BD4536" w:rsidP="00BD4536">
      <w:pPr>
        <w:pStyle w:val="Prrafodelista"/>
        <w:numPr>
          <w:ilvl w:val="0"/>
          <w:numId w:val="48"/>
        </w:numPr>
        <w:tabs>
          <w:tab w:val="left" w:pos="851"/>
          <w:tab w:val="left" w:pos="1701"/>
        </w:tabs>
        <w:rPr>
          <w:rFonts w:cs="Arial"/>
          <w:b/>
          <w:sz w:val="16"/>
          <w:szCs w:val="16"/>
          <w:lang w:val="es-ES"/>
        </w:rPr>
      </w:pPr>
      <w:r>
        <w:rPr>
          <w:rFonts w:cs="Arial"/>
          <w:b/>
          <w:sz w:val="16"/>
          <w:szCs w:val="16"/>
          <w:lang w:val="es-ES"/>
        </w:rPr>
        <w:t xml:space="preserve">Fórmula </w:t>
      </w:r>
      <w:r w:rsidR="00801B2C">
        <w:rPr>
          <w:rFonts w:cs="Arial"/>
          <w:b/>
          <w:sz w:val="16"/>
          <w:szCs w:val="16"/>
          <w:lang w:val="es-ES"/>
        </w:rPr>
        <w:t>sin neteo entre bandas de tiempo.</w:t>
      </w:r>
      <w:r>
        <w:rPr>
          <w:rFonts w:cs="Arial"/>
          <w:b/>
          <w:sz w:val="16"/>
          <w:szCs w:val="16"/>
          <w:lang w:val="es-ES"/>
        </w:rPr>
        <w:t xml:space="preserve"> </w:t>
      </w:r>
    </w:p>
    <w:p w14:paraId="0462F27F" w14:textId="77777777" w:rsidR="00720AF0" w:rsidRPr="00860861" w:rsidRDefault="00720AF0" w:rsidP="00BD4536">
      <w:pPr>
        <w:pStyle w:val="Prrafodelista"/>
        <w:tabs>
          <w:tab w:val="left" w:pos="851"/>
          <w:tab w:val="left" w:pos="1701"/>
        </w:tabs>
        <w:ind w:left="1440"/>
        <w:rPr>
          <w:rFonts w:cs="Arial"/>
          <w:b/>
          <w:sz w:val="18"/>
          <w:szCs w:val="16"/>
          <w:lang w:val="es-CO"/>
        </w:rPr>
      </w:pPr>
    </w:p>
    <w:p w14:paraId="7BEC586D" w14:textId="62D864E1" w:rsidR="00860861" w:rsidRPr="00A32594" w:rsidRDefault="00235A37" w:rsidP="00BD4536">
      <w:pPr>
        <w:pStyle w:val="Prrafodelista"/>
        <w:tabs>
          <w:tab w:val="left" w:pos="851"/>
          <w:tab w:val="left" w:pos="1701"/>
        </w:tabs>
        <w:ind w:left="1440"/>
        <w:rPr>
          <w:rFonts w:cs="Arial"/>
          <w:b/>
          <w:sz w:val="18"/>
          <w:szCs w:val="16"/>
          <w:lang w:val="es-CO"/>
        </w:rPr>
      </w:pPr>
      <m:oMathPara>
        <m:oMath>
          <m:sSub>
            <m:sSubPr>
              <m:ctrlPr>
                <w:rPr>
                  <w:rFonts w:ascii="Cambria Math" w:hAnsi="Cambria Math" w:cs="Arial"/>
                  <w:b/>
                  <w:i/>
                  <w:sz w:val="18"/>
                  <w:szCs w:val="16"/>
                  <w:lang w:val="es-CO"/>
                </w:rPr>
              </m:ctrlPr>
            </m:sSubPr>
            <m:e>
              <m:r>
                <m:rPr>
                  <m:sty m:val="bi"/>
                </m:rPr>
                <w:rPr>
                  <w:rFonts w:ascii="Cambria Math" w:hAnsi="Cambria Math" w:cs="Arial"/>
                  <w:sz w:val="18"/>
                  <w:szCs w:val="16"/>
                  <w:lang w:val="es-CO"/>
                </w:rPr>
                <m:t>EPF</m:t>
              </m:r>
            </m:e>
            <m:sub>
              <m:r>
                <m:rPr>
                  <m:sty m:val="bi"/>
                </m:rPr>
                <w:rPr>
                  <w:rFonts w:ascii="Cambria Math" w:hAnsi="Cambria Math" w:cs="Arial"/>
                  <w:sz w:val="18"/>
                  <w:szCs w:val="16"/>
                  <w:lang w:val="es-CO"/>
                </w:rPr>
                <m:t>Tasas de Interés</m:t>
              </m:r>
            </m:sub>
          </m:sSub>
          <m:r>
            <m:rPr>
              <m:sty m:val="bi"/>
            </m:rPr>
            <w:rPr>
              <w:rFonts w:ascii="Cambria Math" w:hAnsi="Cambria Math" w:cs="Arial"/>
              <w:sz w:val="18"/>
              <w:szCs w:val="16"/>
              <w:lang w:val="es-CO"/>
            </w:rPr>
            <m:t xml:space="preserve">= </m:t>
          </m:r>
          <m:d>
            <m:dPr>
              <m:begChr m:val="|"/>
              <m:endChr m:val="|"/>
              <m:ctrlPr>
                <w:rPr>
                  <w:rFonts w:ascii="Cambria Math" w:hAnsi="Cambria Math" w:cs="Arial"/>
                  <w:b/>
                  <w:i/>
                  <w:sz w:val="18"/>
                  <w:szCs w:val="16"/>
                  <w:lang w:val="es-CO"/>
                </w:rPr>
              </m:ctrlPr>
            </m:dPr>
            <m:e>
              <m:sSub>
                <m:sSubPr>
                  <m:ctrlPr>
                    <w:rPr>
                      <w:rFonts w:ascii="Cambria Math" w:hAnsi="Cambria Math" w:cs="Arial"/>
                      <w:b/>
                      <w:sz w:val="18"/>
                      <w:szCs w:val="16"/>
                      <w:lang w:val="es-CO"/>
                    </w:rPr>
                  </m:ctrlPr>
                </m:sSubPr>
                <m:e>
                  <m:r>
                    <m:rPr>
                      <m:sty m:val="bi"/>
                    </m:rPr>
                    <w:rPr>
                      <w:rFonts w:ascii="Cambria Math" w:hAnsi="Cambria Math" w:cs="Arial"/>
                      <w:sz w:val="18"/>
                      <w:szCs w:val="16"/>
                      <w:lang w:val="es-CO"/>
                    </w:rPr>
                    <m:t>D</m:t>
                  </m:r>
                </m:e>
                <m:sub>
                  <m:r>
                    <m:rPr>
                      <m:sty m:val="b"/>
                    </m:rPr>
                    <w:rPr>
                      <w:rFonts w:ascii="Cambria Math" w:hAnsi="Cambria Math" w:cs="Arial"/>
                      <w:sz w:val="18"/>
                      <w:szCs w:val="16"/>
                      <w:lang w:val="es-CO"/>
                    </w:rPr>
                    <m:t>1</m:t>
                  </m:r>
                </m:sub>
              </m:sSub>
            </m:e>
          </m:d>
          <m:r>
            <m:rPr>
              <m:sty m:val="bi"/>
            </m:rPr>
            <w:rPr>
              <w:rFonts w:ascii="Cambria Math" w:hAnsi="Cambria Math" w:cs="Arial"/>
              <w:sz w:val="18"/>
              <w:szCs w:val="16"/>
              <w:lang w:val="es-CO"/>
            </w:rPr>
            <m:t>+</m:t>
          </m:r>
          <m:d>
            <m:dPr>
              <m:begChr m:val="|"/>
              <m:endChr m:val="|"/>
              <m:ctrlPr>
                <w:rPr>
                  <w:rFonts w:ascii="Cambria Math" w:hAnsi="Cambria Math" w:cs="Arial"/>
                  <w:b/>
                  <w:i/>
                  <w:sz w:val="18"/>
                  <w:szCs w:val="16"/>
                  <w:lang w:val="es-CO"/>
                </w:rPr>
              </m:ctrlPr>
            </m:dPr>
            <m:e>
              <m:sSub>
                <m:sSubPr>
                  <m:ctrlPr>
                    <w:rPr>
                      <w:rFonts w:ascii="Cambria Math" w:hAnsi="Cambria Math" w:cs="Arial"/>
                      <w:b/>
                      <w:sz w:val="18"/>
                      <w:szCs w:val="16"/>
                      <w:lang w:val="es-CO"/>
                    </w:rPr>
                  </m:ctrlPr>
                </m:sSubPr>
                <m:e>
                  <m:r>
                    <m:rPr>
                      <m:sty m:val="bi"/>
                    </m:rPr>
                    <w:rPr>
                      <w:rFonts w:ascii="Cambria Math" w:hAnsi="Cambria Math" w:cs="Arial"/>
                      <w:sz w:val="18"/>
                      <w:szCs w:val="16"/>
                      <w:lang w:val="es-CO"/>
                    </w:rPr>
                    <m:t>D</m:t>
                  </m:r>
                </m:e>
                <m:sub>
                  <m:r>
                    <m:rPr>
                      <m:sty m:val="b"/>
                    </m:rPr>
                    <w:rPr>
                      <w:rFonts w:ascii="Cambria Math" w:hAnsi="Cambria Math" w:cs="Arial"/>
                      <w:sz w:val="18"/>
                      <w:szCs w:val="16"/>
                      <w:lang w:val="es-CO"/>
                    </w:rPr>
                    <m:t>2</m:t>
                  </m:r>
                </m:sub>
              </m:sSub>
            </m:e>
          </m:d>
          <m:r>
            <m:rPr>
              <m:sty m:val="bi"/>
            </m:rPr>
            <w:rPr>
              <w:rFonts w:ascii="Cambria Math" w:hAnsi="Cambria Math" w:cs="Arial"/>
              <w:sz w:val="18"/>
              <w:szCs w:val="16"/>
              <w:lang w:val="es-CO"/>
            </w:rPr>
            <m:t>+</m:t>
          </m:r>
          <m:d>
            <m:dPr>
              <m:begChr m:val="|"/>
              <m:endChr m:val="|"/>
              <m:ctrlPr>
                <w:rPr>
                  <w:rFonts w:ascii="Cambria Math" w:hAnsi="Cambria Math" w:cs="Arial"/>
                  <w:b/>
                  <w:i/>
                  <w:sz w:val="18"/>
                  <w:szCs w:val="16"/>
                  <w:lang w:val="es-CO"/>
                </w:rPr>
              </m:ctrlPr>
            </m:dPr>
            <m:e>
              <m:sSub>
                <m:sSubPr>
                  <m:ctrlPr>
                    <w:rPr>
                      <w:rFonts w:ascii="Cambria Math" w:hAnsi="Cambria Math" w:cs="Arial"/>
                      <w:b/>
                      <w:sz w:val="18"/>
                      <w:szCs w:val="16"/>
                      <w:lang w:val="es-CO"/>
                    </w:rPr>
                  </m:ctrlPr>
                </m:sSubPr>
                <m:e>
                  <m:r>
                    <m:rPr>
                      <m:sty m:val="bi"/>
                    </m:rPr>
                    <w:rPr>
                      <w:rFonts w:ascii="Cambria Math" w:hAnsi="Cambria Math" w:cs="Arial"/>
                      <w:sz w:val="18"/>
                      <w:szCs w:val="16"/>
                      <w:lang w:val="es-CO"/>
                    </w:rPr>
                    <m:t>D</m:t>
                  </m:r>
                </m:e>
                <m:sub>
                  <m:r>
                    <m:rPr>
                      <m:sty m:val="b"/>
                    </m:rPr>
                    <w:rPr>
                      <w:rFonts w:ascii="Cambria Math" w:hAnsi="Cambria Math" w:cs="Arial"/>
                      <w:sz w:val="18"/>
                      <w:szCs w:val="16"/>
                      <w:lang w:val="es-CO"/>
                    </w:rPr>
                    <m:t>3</m:t>
                  </m:r>
                </m:sub>
              </m:sSub>
            </m:e>
          </m:d>
        </m:oMath>
      </m:oMathPara>
    </w:p>
    <w:p w14:paraId="7379D99F" w14:textId="18BDB504" w:rsidR="00860861" w:rsidRDefault="00860861" w:rsidP="00BD4536">
      <w:pPr>
        <w:pStyle w:val="Prrafodelista"/>
        <w:tabs>
          <w:tab w:val="left" w:pos="851"/>
          <w:tab w:val="left" w:pos="1701"/>
        </w:tabs>
        <w:ind w:left="1440"/>
        <w:rPr>
          <w:rFonts w:cs="Arial"/>
          <w:sz w:val="18"/>
          <w:szCs w:val="16"/>
          <w:lang w:val="es-CO"/>
        </w:rPr>
      </w:pPr>
    </w:p>
    <w:p w14:paraId="40D61FB0" w14:textId="1800E86F" w:rsidR="00801B2C" w:rsidRDefault="00801B2C" w:rsidP="00BD4536">
      <w:pPr>
        <w:pStyle w:val="Prrafodelista"/>
        <w:tabs>
          <w:tab w:val="left" w:pos="851"/>
          <w:tab w:val="left" w:pos="1701"/>
        </w:tabs>
        <w:ind w:left="1440"/>
        <w:rPr>
          <w:rFonts w:cs="Arial"/>
          <w:sz w:val="18"/>
          <w:szCs w:val="16"/>
          <w:lang w:val="es-CO"/>
        </w:rPr>
      </w:pPr>
      <w:r>
        <w:rPr>
          <w:rFonts w:cs="Arial"/>
          <w:sz w:val="18"/>
          <w:szCs w:val="16"/>
          <w:lang w:val="es-CO"/>
        </w:rPr>
        <w:t xml:space="preserve">Donde, </w:t>
      </w:r>
    </w:p>
    <w:p w14:paraId="75E1B2DA" w14:textId="7F3E0964" w:rsidR="00801B2C" w:rsidRPr="00A32594" w:rsidRDefault="00235A37" w:rsidP="00BD4536">
      <w:pPr>
        <w:pStyle w:val="Prrafodelista"/>
        <w:tabs>
          <w:tab w:val="left" w:pos="851"/>
          <w:tab w:val="left" w:pos="1701"/>
        </w:tabs>
        <w:ind w:left="1440"/>
        <w:rPr>
          <w:rFonts w:cs="Arial"/>
          <w:b/>
          <w:sz w:val="18"/>
          <w:szCs w:val="16"/>
          <w:lang w:val="es-CO"/>
        </w:rPr>
      </w:pPr>
      <m:oMathPara>
        <m:oMath>
          <m:sSub>
            <m:sSubPr>
              <m:ctrlPr>
                <w:rPr>
                  <w:rFonts w:ascii="Cambria Math" w:hAnsi="Cambria Math" w:cs="Arial"/>
                  <w:b/>
                  <w:sz w:val="18"/>
                  <w:szCs w:val="16"/>
                  <w:lang w:val="es-CO"/>
                </w:rPr>
              </m:ctrlPr>
            </m:sSubPr>
            <m:e>
              <m:r>
                <m:rPr>
                  <m:sty m:val="bi"/>
                </m:rPr>
                <w:rPr>
                  <w:rFonts w:ascii="Cambria Math" w:hAnsi="Cambria Math" w:cs="Arial"/>
                  <w:sz w:val="18"/>
                  <w:szCs w:val="16"/>
                  <w:lang w:val="es-CO"/>
                </w:rPr>
                <m:t>D</m:t>
              </m:r>
            </m:e>
            <m:sub>
              <m:r>
                <m:rPr>
                  <m:sty m:val="b"/>
                </m:rPr>
                <w:rPr>
                  <w:rFonts w:ascii="Cambria Math" w:hAnsi="Cambria Math" w:cs="Arial"/>
                  <w:sz w:val="18"/>
                  <w:szCs w:val="16"/>
                  <w:lang w:val="es-CO"/>
                </w:rPr>
                <m:t>1</m:t>
              </m:r>
            </m:sub>
          </m:sSub>
          <m:r>
            <m:rPr>
              <m:sty m:val="bi"/>
            </m:rPr>
            <w:rPr>
              <w:rFonts w:ascii="Cambria Math" w:hAnsi="Cambria Math" w:cs="Arial"/>
              <w:sz w:val="18"/>
              <w:szCs w:val="16"/>
              <w:lang w:val="es-CO"/>
            </w:rPr>
            <m:t>=</m:t>
          </m:r>
          <m:nary>
            <m:naryPr>
              <m:chr m:val="∑"/>
              <m:limLoc m:val="undOvr"/>
              <m:ctrlPr>
                <w:rPr>
                  <w:rFonts w:ascii="Cambria Math" w:hAnsi="Cambria Math" w:cs="Arial"/>
                  <w:b/>
                  <w:i/>
                  <w:sz w:val="18"/>
                  <w:szCs w:val="16"/>
                  <w:lang w:val="es-CO"/>
                </w:rPr>
              </m:ctrlPr>
            </m:naryPr>
            <m:sub>
              <m:r>
                <m:rPr>
                  <m:sty m:val="bi"/>
                </m:rPr>
                <w:rPr>
                  <w:rFonts w:ascii="Cambria Math" w:hAnsi="Cambria Math" w:cs="Arial"/>
                  <w:sz w:val="18"/>
                  <w:szCs w:val="16"/>
                  <w:lang w:val="es-CO"/>
                </w:rPr>
                <m:t>i=1</m:t>
              </m:r>
            </m:sub>
            <m:sup>
              <m:r>
                <m:rPr>
                  <m:sty m:val="bi"/>
                </m:rPr>
                <w:rPr>
                  <w:rFonts w:ascii="Cambria Math" w:hAnsi="Cambria Math" w:cs="Arial"/>
                  <w:sz w:val="18"/>
                  <w:szCs w:val="16"/>
                  <w:lang w:val="es-CO"/>
                </w:rPr>
                <m:t>B</m:t>
              </m:r>
              <m:r>
                <m:rPr>
                  <m:sty m:val="bi"/>
                </m:rPr>
                <w:rPr>
                  <w:rFonts w:ascii="Cambria Math" w:hAnsi="Cambria Math" w:cs="Arial"/>
                  <w:sz w:val="18"/>
                  <w:szCs w:val="16"/>
                  <w:lang w:val="es-CO"/>
                </w:rPr>
                <m:t>1</m:t>
              </m:r>
            </m:sup>
            <m:e>
              <m:r>
                <m:rPr>
                  <m:sty m:val="bi"/>
                </m:rPr>
                <w:rPr>
                  <w:rFonts w:ascii="Cambria Math" w:hAnsi="Cambria Math" w:cs="Arial"/>
                  <w:sz w:val="18"/>
                  <w:szCs w:val="16"/>
                  <w:lang w:val="es-CO"/>
                </w:rPr>
                <m:t>F</m:t>
              </m:r>
              <m:sSub>
                <m:sSubPr>
                  <m:ctrlPr>
                    <w:rPr>
                      <w:rFonts w:ascii="Cambria Math" w:hAnsi="Cambria Math" w:cs="Arial"/>
                      <w:b/>
                      <w:i/>
                      <w:sz w:val="18"/>
                      <w:szCs w:val="16"/>
                      <w:lang w:val="es-CO"/>
                    </w:rPr>
                  </m:ctrlPr>
                </m:sSubPr>
                <m:e>
                  <m:r>
                    <m:rPr>
                      <m:sty m:val="bi"/>
                    </m:rPr>
                    <w:rPr>
                      <w:rFonts w:ascii="Cambria Math" w:hAnsi="Cambria Math" w:cs="Arial"/>
                      <w:sz w:val="18"/>
                      <w:szCs w:val="16"/>
                      <w:lang w:val="es-CO"/>
                    </w:rPr>
                    <m:t>C</m:t>
                  </m:r>
                </m:e>
                <m:sub>
                  <m:r>
                    <m:rPr>
                      <m:sty m:val="bi"/>
                    </m:rPr>
                    <w:rPr>
                      <w:rFonts w:ascii="Cambria Math" w:hAnsi="Cambria Math" w:cs="Arial"/>
                      <w:sz w:val="18"/>
                      <w:szCs w:val="16"/>
                      <w:lang w:val="es-CO"/>
                    </w:rPr>
                    <m:t>i</m:t>
                  </m:r>
                </m:sub>
              </m:sSub>
              <m:r>
                <m:rPr>
                  <m:sty m:val="bi"/>
                </m:rPr>
                <w:rPr>
                  <w:rFonts w:ascii="Cambria Math" w:hAnsi="Cambria Math" w:cs="Arial"/>
                  <w:sz w:val="18"/>
                  <w:szCs w:val="16"/>
                  <w:lang w:val="es-CO"/>
                </w:rPr>
                <m:t>*VN</m:t>
              </m:r>
              <m:sSubSup>
                <m:sSubSupPr>
                  <m:ctrlPr>
                    <w:rPr>
                      <w:rFonts w:ascii="Cambria Math" w:hAnsi="Cambria Math" w:cs="Arial"/>
                      <w:b/>
                      <w:i/>
                      <w:sz w:val="18"/>
                      <w:szCs w:val="16"/>
                      <w:lang w:val="es-CO"/>
                    </w:rPr>
                  </m:ctrlPr>
                </m:sSubSupPr>
                <m:e>
                  <m:r>
                    <m:rPr>
                      <m:sty m:val="bi"/>
                    </m:rPr>
                    <w:rPr>
                      <w:rFonts w:ascii="Cambria Math" w:hAnsi="Cambria Math" w:cs="Arial"/>
                      <w:sz w:val="18"/>
                      <w:szCs w:val="16"/>
                      <w:lang w:val="es-CO"/>
                    </w:rPr>
                    <m:t>E</m:t>
                  </m:r>
                </m:e>
                <m:sub>
                  <m:r>
                    <m:rPr>
                      <m:sty m:val="bi"/>
                    </m:rPr>
                    <w:rPr>
                      <w:rFonts w:ascii="Cambria Math" w:hAnsi="Cambria Math" w:cs="Arial"/>
                      <w:sz w:val="18"/>
                      <w:szCs w:val="16"/>
                      <w:lang w:val="es-CO"/>
                    </w:rPr>
                    <m:t>i</m:t>
                  </m:r>
                </m:sub>
                <m:sup>
                  <m:r>
                    <m:rPr>
                      <m:sty m:val="bi"/>
                    </m:rPr>
                    <w:rPr>
                      <w:rFonts w:ascii="Cambria Math" w:hAnsi="Cambria Math" w:cs="Arial"/>
                      <w:sz w:val="18"/>
                      <w:szCs w:val="16"/>
                      <w:lang w:val="es-CO"/>
                    </w:rPr>
                    <m:t>B</m:t>
                  </m:r>
                  <m:r>
                    <m:rPr>
                      <m:sty m:val="bi"/>
                    </m:rPr>
                    <w:rPr>
                      <w:rFonts w:ascii="Cambria Math" w:hAnsi="Cambria Math" w:cs="Arial"/>
                      <w:sz w:val="18"/>
                      <w:szCs w:val="16"/>
                      <w:lang w:val="es-CO"/>
                    </w:rPr>
                    <m:t>1</m:t>
                  </m:r>
                </m:sup>
              </m:sSubSup>
            </m:e>
          </m:nary>
        </m:oMath>
      </m:oMathPara>
    </w:p>
    <w:p w14:paraId="5FB86024" w14:textId="77777777" w:rsidR="00A32594" w:rsidRPr="00801B2C" w:rsidRDefault="00A32594" w:rsidP="00BD4536">
      <w:pPr>
        <w:pStyle w:val="Prrafodelista"/>
        <w:tabs>
          <w:tab w:val="left" w:pos="851"/>
          <w:tab w:val="left" w:pos="1701"/>
        </w:tabs>
        <w:ind w:left="1440"/>
        <w:rPr>
          <w:rFonts w:cs="Arial"/>
          <w:b/>
          <w:sz w:val="18"/>
          <w:szCs w:val="16"/>
          <w:lang w:val="es-CO"/>
        </w:rPr>
      </w:pPr>
    </w:p>
    <w:p w14:paraId="09FB41C2" w14:textId="51848050" w:rsidR="00801B2C" w:rsidRPr="00A32594" w:rsidRDefault="00235A37" w:rsidP="00BD4536">
      <w:pPr>
        <w:pStyle w:val="Prrafodelista"/>
        <w:tabs>
          <w:tab w:val="left" w:pos="851"/>
          <w:tab w:val="left" w:pos="1701"/>
        </w:tabs>
        <w:ind w:left="1440"/>
        <w:rPr>
          <w:rFonts w:cs="Arial"/>
          <w:b/>
          <w:sz w:val="18"/>
          <w:szCs w:val="16"/>
          <w:lang w:val="es-CO"/>
        </w:rPr>
      </w:pPr>
      <m:oMathPara>
        <m:oMath>
          <m:sSub>
            <m:sSubPr>
              <m:ctrlPr>
                <w:rPr>
                  <w:rFonts w:ascii="Cambria Math" w:hAnsi="Cambria Math" w:cs="Arial"/>
                  <w:b/>
                  <w:sz w:val="18"/>
                  <w:szCs w:val="16"/>
                  <w:lang w:val="es-CO"/>
                </w:rPr>
              </m:ctrlPr>
            </m:sSubPr>
            <m:e>
              <m:r>
                <m:rPr>
                  <m:sty m:val="bi"/>
                </m:rPr>
                <w:rPr>
                  <w:rFonts w:ascii="Cambria Math" w:hAnsi="Cambria Math" w:cs="Arial"/>
                  <w:sz w:val="18"/>
                  <w:szCs w:val="16"/>
                  <w:lang w:val="es-CO"/>
                </w:rPr>
                <m:t>D</m:t>
              </m:r>
            </m:e>
            <m:sub>
              <m:r>
                <m:rPr>
                  <m:sty m:val="b"/>
                </m:rPr>
                <w:rPr>
                  <w:rFonts w:ascii="Cambria Math" w:hAnsi="Cambria Math" w:cs="Arial"/>
                  <w:sz w:val="18"/>
                  <w:szCs w:val="16"/>
                  <w:lang w:val="es-CO"/>
                </w:rPr>
                <m:t>2</m:t>
              </m:r>
            </m:sub>
          </m:sSub>
          <m:r>
            <m:rPr>
              <m:sty m:val="bi"/>
            </m:rPr>
            <w:rPr>
              <w:rFonts w:ascii="Cambria Math" w:hAnsi="Cambria Math" w:cs="Arial"/>
              <w:sz w:val="18"/>
              <w:szCs w:val="16"/>
              <w:lang w:val="es-CO"/>
            </w:rPr>
            <m:t>=</m:t>
          </m:r>
          <m:nary>
            <m:naryPr>
              <m:chr m:val="∑"/>
              <m:limLoc m:val="undOvr"/>
              <m:ctrlPr>
                <w:rPr>
                  <w:rFonts w:ascii="Cambria Math" w:hAnsi="Cambria Math" w:cs="Arial"/>
                  <w:b/>
                  <w:i/>
                  <w:sz w:val="18"/>
                  <w:szCs w:val="16"/>
                  <w:lang w:val="es-CO"/>
                </w:rPr>
              </m:ctrlPr>
            </m:naryPr>
            <m:sub>
              <m:r>
                <m:rPr>
                  <m:sty m:val="bi"/>
                </m:rPr>
                <w:rPr>
                  <w:rFonts w:ascii="Cambria Math" w:hAnsi="Cambria Math" w:cs="Arial"/>
                  <w:sz w:val="18"/>
                  <w:szCs w:val="16"/>
                  <w:lang w:val="es-CO"/>
                </w:rPr>
                <m:t>i=1</m:t>
              </m:r>
            </m:sub>
            <m:sup>
              <m:r>
                <m:rPr>
                  <m:sty m:val="bi"/>
                </m:rPr>
                <w:rPr>
                  <w:rFonts w:ascii="Cambria Math" w:hAnsi="Cambria Math" w:cs="Arial"/>
                  <w:sz w:val="18"/>
                  <w:szCs w:val="16"/>
                  <w:lang w:val="es-CO"/>
                </w:rPr>
                <m:t>B</m:t>
              </m:r>
              <m:r>
                <m:rPr>
                  <m:sty m:val="bi"/>
                </m:rPr>
                <w:rPr>
                  <w:rFonts w:ascii="Cambria Math" w:hAnsi="Cambria Math" w:cs="Arial"/>
                  <w:sz w:val="18"/>
                  <w:szCs w:val="16"/>
                  <w:lang w:val="es-CO"/>
                </w:rPr>
                <m:t>2</m:t>
              </m:r>
            </m:sup>
            <m:e>
              <m:r>
                <m:rPr>
                  <m:sty m:val="bi"/>
                </m:rPr>
                <w:rPr>
                  <w:rFonts w:ascii="Cambria Math" w:hAnsi="Cambria Math" w:cs="Arial"/>
                  <w:sz w:val="18"/>
                  <w:szCs w:val="16"/>
                  <w:lang w:val="es-CO"/>
                </w:rPr>
                <m:t>F</m:t>
              </m:r>
              <m:sSub>
                <m:sSubPr>
                  <m:ctrlPr>
                    <w:rPr>
                      <w:rFonts w:ascii="Cambria Math" w:hAnsi="Cambria Math" w:cs="Arial"/>
                      <w:b/>
                      <w:i/>
                      <w:sz w:val="18"/>
                      <w:szCs w:val="16"/>
                      <w:lang w:val="es-CO"/>
                    </w:rPr>
                  </m:ctrlPr>
                </m:sSubPr>
                <m:e>
                  <m:r>
                    <m:rPr>
                      <m:sty m:val="bi"/>
                    </m:rPr>
                    <w:rPr>
                      <w:rFonts w:ascii="Cambria Math" w:hAnsi="Cambria Math" w:cs="Arial"/>
                      <w:sz w:val="18"/>
                      <w:szCs w:val="16"/>
                      <w:lang w:val="es-CO"/>
                    </w:rPr>
                    <m:t>C</m:t>
                  </m:r>
                </m:e>
                <m:sub>
                  <m:r>
                    <m:rPr>
                      <m:sty m:val="bi"/>
                    </m:rPr>
                    <w:rPr>
                      <w:rFonts w:ascii="Cambria Math" w:hAnsi="Cambria Math" w:cs="Arial"/>
                      <w:sz w:val="18"/>
                      <w:szCs w:val="16"/>
                      <w:lang w:val="es-CO"/>
                    </w:rPr>
                    <m:t>i</m:t>
                  </m:r>
                </m:sub>
              </m:sSub>
              <m:r>
                <m:rPr>
                  <m:sty m:val="bi"/>
                </m:rPr>
                <w:rPr>
                  <w:rFonts w:ascii="Cambria Math" w:hAnsi="Cambria Math" w:cs="Arial"/>
                  <w:sz w:val="18"/>
                  <w:szCs w:val="16"/>
                  <w:lang w:val="es-CO"/>
                </w:rPr>
                <m:t>*VN</m:t>
              </m:r>
              <m:sSubSup>
                <m:sSubSupPr>
                  <m:ctrlPr>
                    <w:rPr>
                      <w:rFonts w:ascii="Cambria Math" w:hAnsi="Cambria Math" w:cs="Arial"/>
                      <w:b/>
                      <w:i/>
                      <w:sz w:val="18"/>
                      <w:szCs w:val="16"/>
                      <w:lang w:val="es-CO"/>
                    </w:rPr>
                  </m:ctrlPr>
                </m:sSubSupPr>
                <m:e>
                  <m:r>
                    <m:rPr>
                      <m:sty m:val="bi"/>
                    </m:rPr>
                    <w:rPr>
                      <w:rFonts w:ascii="Cambria Math" w:hAnsi="Cambria Math" w:cs="Arial"/>
                      <w:sz w:val="18"/>
                      <w:szCs w:val="16"/>
                      <w:lang w:val="es-CO"/>
                    </w:rPr>
                    <m:t>E</m:t>
                  </m:r>
                </m:e>
                <m:sub>
                  <m:r>
                    <m:rPr>
                      <m:sty m:val="bi"/>
                    </m:rPr>
                    <w:rPr>
                      <w:rFonts w:ascii="Cambria Math" w:hAnsi="Cambria Math" w:cs="Arial"/>
                      <w:sz w:val="18"/>
                      <w:szCs w:val="16"/>
                      <w:lang w:val="es-CO"/>
                    </w:rPr>
                    <m:t>i</m:t>
                  </m:r>
                </m:sub>
                <m:sup>
                  <m:r>
                    <m:rPr>
                      <m:sty m:val="bi"/>
                    </m:rPr>
                    <w:rPr>
                      <w:rFonts w:ascii="Cambria Math" w:hAnsi="Cambria Math" w:cs="Arial"/>
                      <w:sz w:val="18"/>
                      <w:szCs w:val="16"/>
                      <w:lang w:val="es-CO"/>
                    </w:rPr>
                    <m:t>B</m:t>
                  </m:r>
                  <m:r>
                    <m:rPr>
                      <m:sty m:val="bi"/>
                    </m:rPr>
                    <w:rPr>
                      <w:rFonts w:ascii="Cambria Math" w:hAnsi="Cambria Math" w:cs="Arial"/>
                      <w:sz w:val="18"/>
                      <w:szCs w:val="16"/>
                      <w:lang w:val="es-CO"/>
                    </w:rPr>
                    <m:t>2</m:t>
                  </m:r>
                </m:sup>
              </m:sSubSup>
            </m:e>
          </m:nary>
        </m:oMath>
      </m:oMathPara>
    </w:p>
    <w:p w14:paraId="0F42D10B" w14:textId="77777777" w:rsidR="00A32594" w:rsidRPr="00801B2C" w:rsidRDefault="00A32594" w:rsidP="00BD4536">
      <w:pPr>
        <w:pStyle w:val="Prrafodelista"/>
        <w:tabs>
          <w:tab w:val="left" w:pos="851"/>
          <w:tab w:val="left" w:pos="1701"/>
        </w:tabs>
        <w:ind w:left="1440"/>
        <w:rPr>
          <w:rFonts w:cs="Arial"/>
          <w:b/>
          <w:sz w:val="18"/>
          <w:szCs w:val="16"/>
          <w:lang w:val="es-CO"/>
        </w:rPr>
      </w:pPr>
    </w:p>
    <w:p w14:paraId="1CD187A6" w14:textId="700E43BB" w:rsidR="00801B2C" w:rsidRDefault="00235A37" w:rsidP="00B67EED">
      <w:pPr>
        <w:pStyle w:val="Prrafodelista"/>
        <w:tabs>
          <w:tab w:val="left" w:pos="851"/>
          <w:tab w:val="left" w:pos="1701"/>
        </w:tabs>
        <w:ind w:left="1440"/>
        <w:rPr>
          <w:rFonts w:cs="Arial"/>
          <w:sz w:val="18"/>
          <w:szCs w:val="16"/>
          <w:lang w:val="es-CO"/>
        </w:rPr>
      </w:pPr>
      <m:oMathPara>
        <m:oMath>
          <m:sSub>
            <m:sSubPr>
              <m:ctrlPr>
                <w:rPr>
                  <w:rFonts w:ascii="Cambria Math" w:hAnsi="Cambria Math" w:cs="Arial"/>
                  <w:b/>
                  <w:sz w:val="18"/>
                  <w:szCs w:val="16"/>
                  <w:lang w:val="es-CO"/>
                </w:rPr>
              </m:ctrlPr>
            </m:sSubPr>
            <m:e>
              <m:r>
                <m:rPr>
                  <m:sty m:val="bi"/>
                </m:rPr>
                <w:rPr>
                  <w:rFonts w:ascii="Cambria Math" w:hAnsi="Cambria Math" w:cs="Arial"/>
                  <w:sz w:val="18"/>
                  <w:szCs w:val="16"/>
                  <w:lang w:val="es-CO"/>
                </w:rPr>
                <m:t>D</m:t>
              </m:r>
            </m:e>
            <m:sub>
              <m:r>
                <m:rPr>
                  <m:sty m:val="b"/>
                </m:rPr>
                <w:rPr>
                  <w:rFonts w:ascii="Cambria Math" w:hAnsi="Cambria Math" w:cs="Arial"/>
                  <w:sz w:val="18"/>
                  <w:szCs w:val="16"/>
                  <w:lang w:val="es-CO"/>
                </w:rPr>
                <m:t>3</m:t>
              </m:r>
            </m:sub>
          </m:sSub>
          <m:r>
            <m:rPr>
              <m:sty m:val="bi"/>
            </m:rPr>
            <w:rPr>
              <w:rFonts w:ascii="Cambria Math" w:hAnsi="Cambria Math" w:cs="Arial"/>
              <w:sz w:val="18"/>
              <w:szCs w:val="16"/>
              <w:lang w:val="es-CO"/>
            </w:rPr>
            <m:t>=</m:t>
          </m:r>
          <m:nary>
            <m:naryPr>
              <m:chr m:val="∑"/>
              <m:limLoc m:val="undOvr"/>
              <m:ctrlPr>
                <w:rPr>
                  <w:rFonts w:ascii="Cambria Math" w:hAnsi="Cambria Math" w:cs="Arial"/>
                  <w:b/>
                  <w:i/>
                  <w:sz w:val="18"/>
                  <w:szCs w:val="16"/>
                  <w:lang w:val="es-CO"/>
                </w:rPr>
              </m:ctrlPr>
            </m:naryPr>
            <m:sub>
              <m:r>
                <m:rPr>
                  <m:sty m:val="bi"/>
                </m:rPr>
                <w:rPr>
                  <w:rFonts w:ascii="Cambria Math" w:hAnsi="Cambria Math" w:cs="Arial"/>
                  <w:sz w:val="18"/>
                  <w:szCs w:val="16"/>
                  <w:lang w:val="es-CO"/>
                </w:rPr>
                <m:t>i=1</m:t>
              </m:r>
            </m:sub>
            <m:sup>
              <m:r>
                <m:rPr>
                  <m:sty m:val="bi"/>
                </m:rPr>
                <w:rPr>
                  <w:rFonts w:ascii="Cambria Math" w:hAnsi="Cambria Math" w:cs="Arial"/>
                  <w:sz w:val="18"/>
                  <w:szCs w:val="16"/>
                  <w:lang w:val="es-CO"/>
                </w:rPr>
                <m:t>B</m:t>
              </m:r>
              <m:r>
                <m:rPr>
                  <m:sty m:val="bi"/>
                </m:rPr>
                <w:rPr>
                  <w:rFonts w:ascii="Cambria Math" w:hAnsi="Cambria Math" w:cs="Arial"/>
                  <w:sz w:val="18"/>
                  <w:szCs w:val="16"/>
                  <w:lang w:val="es-CO"/>
                </w:rPr>
                <m:t>3</m:t>
              </m:r>
            </m:sup>
            <m:e>
              <m:r>
                <m:rPr>
                  <m:sty m:val="bi"/>
                </m:rPr>
                <w:rPr>
                  <w:rFonts w:ascii="Cambria Math" w:hAnsi="Cambria Math" w:cs="Arial"/>
                  <w:sz w:val="18"/>
                  <w:szCs w:val="16"/>
                  <w:lang w:val="es-CO"/>
                </w:rPr>
                <m:t>F</m:t>
              </m:r>
              <m:sSub>
                <m:sSubPr>
                  <m:ctrlPr>
                    <w:rPr>
                      <w:rFonts w:ascii="Cambria Math" w:hAnsi="Cambria Math" w:cs="Arial"/>
                      <w:b/>
                      <w:i/>
                      <w:sz w:val="18"/>
                      <w:szCs w:val="16"/>
                      <w:lang w:val="es-CO"/>
                    </w:rPr>
                  </m:ctrlPr>
                </m:sSubPr>
                <m:e>
                  <m:r>
                    <m:rPr>
                      <m:sty m:val="bi"/>
                    </m:rPr>
                    <w:rPr>
                      <w:rFonts w:ascii="Cambria Math" w:hAnsi="Cambria Math" w:cs="Arial"/>
                      <w:sz w:val="18"/>
                      <w:szCs w:val="16"/>
                      <w:lang w:val="es-CO"/>
                    </w:rPr>
                    <m:t>C</m:t>
                  </m:r>
                </m:e>
                <m:sub>
                  <m:r>
                    <m:rPr>
                      <m:sty m:val="bi"/>
                    </m:rPr>
                    <w:rPr>
                      <w:rFonts w:ascii="Cambria Math" w:hAnsi="Cambria Math" w:cs="Arial"/>
                      <w:sz w:val="18"/>
                      <w:szCs w:val="16"/>
                      <w:lang w:val="es-CO"/>
                    </w:rPr>
                    <m:t>i</m:t>
                  </m:r>
                </m:sub>
              </m:sSub>
              <m:r>
                <m:rPr>
                  <m:sty m:val="bi"/>
                </m:rPr>
                <w:rPr>
                  <w:rFonts w:ascii="Cambria Math" w:hAnsi="Cambria Math" w:cs="Arial"/>
                  <w:sz w:val="18"/>
                  <w:szCs w:val="16"/>
                  <w:lang w:val="es-CO"/>
                </w:rPr>
                <m:t>*VN</m:t>
              </m:r>
              <m:sSubSup>
                <m:sSubSupPr>
                  <m:ctrlPr>
                    <w:rPr>
                      <w:rFonts w:ascii="Cambria Math" w:hAnsi="Cambria Math" w:cs="Arial"/>
                      <w:b/>
                      <w:i/>
                      <w:sz w:val="18"/>
                      <w:szCs w:val="16"/>
                      <w:lang w:val="es-CO"/>
                    </w:rPr>
                  </m:ctrlPr>
                </m:sSubSupPr>
                <m:e>
                  <m:r>
                    <m:rPr>
                      <m:sty m:val="bi"/>
                    </m:rPr>
                    <w:rPr>
                      <w:rFonts w:ascii="Cambria Math" w:hAnsi="Cambria Math" w:cs="Arial"/>
                      <w:sz w:val="18"/>
                      <w:szCs w:val="16"/>
                      <w:lang w:val="es-CO"/>
                    </w:rPr>
                    <m:t>E</m:t>
                  </m:r>
                </m:e>
                <m:sub>
                  <m:r>
                    <m:rPr>
                      <m:sty m:val="bi"/>
                    </m:rPr>
                    <w:rPr>
                      <w:rFonts w:ascii="Cambria Math" w:hAnsi="Cambria Math" w:cs="Arial"/>
                      <w:sz w:val="18"/>
                      <w:szCs w:val="16"/>
                      <w:lang w:val="es-CO"/>
                    </w:rPr>
                    <m:t>i</m:t>
                  </m:r>
                </m:sub>
                <m:sup>
                  <m:r>
                    <m:rPr>
                      <m:sty m:val="bi"/>
                    </m:rPr>
                    <w:rPr>
                      <w:rFonts w:ascii="Cambria Math" w:hAnsi="Cambria Math" w:cs="Arial"/>
                      <w:sz w:val="18"/>
                      <w:szCs w:val="16"/>
                      <w:lang w:val="es-CO"/>
                    </w:rPr>
                    <m:t>B</m:t>
                  </m:r>
                  <m:r>
                    <m:rPr>
                      <m:sty m:val="bi"/>
                    </m:rPr>
                    <w:rPr>
                      <w:rFonts w:ascii="Cambria Math" w:hAnsi="Cambria Math" w:cs="Arial"/>
                      <w:sz w:val="18"/>
                      <w:szCs w:val="16"/>
                      <w:lang w:val="es-CO"/>
                    </w:rPr>
                    <m:t>3</m:t>
                  </m:r>
                </m:sup>
              </m:sSubSup>
            </m:e>
          </m:nary>
        </m:oMath>
      </m:oMathPara>
    </w:p>
    <w:p w14:paraId="0711183F" w14:textId="77777777" w:rsidR="00BD4536" w:rsidRPr="00BD4536" w:rsidRDefault="00BD4536" w:rsidP="00B67EED">
      <w:pPr>
        <w:pStyle w:val="Prrafodelista"/>
        <w:tabs>
          <w:tab w:val="left" w:pos="851"/>
          <w:tab w:val="left" w:pos="1701"/>
        </w:tabs>
        <w:ind w:left="1440"/>
        <w:rPr>
          <w:rFonts w:cs="Arial"/>
          <w:b/>
          <w:sz w:val="16"/>
          <w:szCs w:val="16"/>
          <w:lang w:val="es-ES"/>
        </w:rPr>
      </w:pPr>
    </w:p>
    <w:p w14:paraId="23684BF3" w14:textId="63D2601A" w:rsidR="00BD4536" w:rsidRDefault="00BD4536" w:rsidP="00B67EED">
      <w:pPr>
        <w:pStyle w:val="Prrafodelista"/>
        <w:numPr>
          <w:ilvl w:val="0"/>
          <w:numId w:val="48"/>
        </w:numPr>
        <w:tabs>
          <w:tab w:val="left" w:pos="851"/>
          <w:tab w:val="left" w:pos="1701"/>
        </w:tabs>
        <w:rPr>
          <w:rFonts w:cs="Arial"/>
          <w:b/>
          <w:sz w:val="16"/>
          <w:szCs w:val="16"/>
          <w:lang w:val="es-ES"/>
        </w:rPr>
      </w:pPr>
      <w:r>
        <w:rPr>
          <w:rFonts w:cs="Arial"/>
          <w:b/>
          <w:sz w:val="16"/>
          <w:szCs w:val="16"/>
          <w:lang w:val="es-ES"/>
        </w:rPr>
        <w:t>Fórmula con neteo entre bandas</w:t>
      </w:r>
      <w:r w:rsidR="00801B2C">
        <w:rPr>
          <w:rFonts w:cs="Arial"/>
          <w:b/>
          <w:sz w:val="16"/>
          <w:szCs w:val="16"/>
          <w:lang w:val="es-ES"/>
        </w:rPr>
        <w:t xml:space="preserve"> de tiempo</w:t>
      </w:r>
      <w:r>
        <w:rPr>
          <w:rFonts w:cs="Arial"/>
          <w:b/>
          <w:sz w:val="16"/>
          <w:szCs w:val="16"/>
          <w:lang w:val="es-ES"/>
        </w:rPr>
        <w:t>.</w:t>
      </w:r>
      <w:r w:rsidR="00981187">
        <w:rPr>
          <w:rFonts w:cs="Arial"/>
          <w:b/>
          <w:sz w:val="16"/>
          <w:szCs w:val="16"/>
          <w:lang w:val="es-ES"/>
        </w:rPr>
        <w:t xml:space="preserve"> En caso de utilizar esta fórmula la entidad debe informar a la SFC de su aplicación. </w:t>
      </w:r>
      <w:r>
        <w:rPr>
          <w:rFonts w:cs="Arial"/>
          <w:b/>
          <w:sz w:val="16"/>
          <w:szCs w:val="16"/>
          <w:lang w:val="es-ES"/>
        </w:rPr>
        <w:t xml:space="preserve">   </w:t>
      </w:r>
    </w:p>
    <w:p w14:paraId="6F79927C" w14:textId="77777777" w:rsidR="00BD4536" w:rsidRDefault="00BD4536" w:rsidP="00B67EED">
      <w:pPr>
        <w:pStyle w:val="Prrafodelista"/>
        <w:tabs>
          <w:tab w:val="left" w:pos="851"/>
          <w:tab w:val="left" w:pos="1701"/>
        </w:tabs>
        <w:ind w:left="1440"/>
        <w:rPr>
          <w:rFonts w:cs="Arial"/>
          <w:b/>
          <w:sz w:val="16"/>
          <w:szCs w:val="16"/>
          <w:lang w:val="es-ES"/>
        </w:rPr>
      </w:pPr>
    </w:p>
    <w:p w14:paraId="1E86C8F6" w14:textId="7AD5E970" w:rsidR="00BD4536" w:rsidRPr="00BF5D08" w:rsidRDefault="00235A37" w:rsidP="00B67EED">
      <w:pPr>
        <w:pStyle w:val="Prrafodelista"/>
        <w:tabs>
          <w:tab w:val="left" w:pos="851"/>
          <w:tab w:val="left" w:pos="1701"/>
        </w:tabs>
        <w:ind w:left="1440"/>
        <w:rPr>
          <w:rFonts w:cs="Arial"/>
          <w:b/>
          <w:sz w:val="16"/>
          <w:szCs w:val="16"/>
          <w:lang w:val="es-ES"/>
        </w:rPr>
      </w:pPr>
      <m:oMath>
        <m:sSub>
          <m:sSubPr>
            <m:ctrlPr>
              <w:rPr>
                <w:rFonts w:ascii="Cambria Math" w:hAnsi="Cambria Math" w:cs="Arial"/>
                <w:b/>
                <w:i/>
                <w:sz w:val="18"/>
                <w:szCs w:val="16"/>
                <w:lang w:val="es-CO"/>
              </w:rPr>
            </m:ctrlPr>
          </m:sSubPr>
          <m:e>
            <m:r>
              <m:rPr>
                <m:sty m:val="bi"/>
              </m:rPr>
              <w:rPr>
                <w:rFonts w:ascii="Cambria Math" w:hAnsi="Cambria Math" w:cs="Arial"/>
                <w:sz w:val="18"/>
                <w:szCs w:val="16"/>
                <w:lang w:val="es-CO"/>
              </w:rPr>
              <m:t>EPF</m:t>
            </m:r>
          </m:e>
          <m:sub>
            <m:r>
              <m:rPr>
                <m:sty m:val="bi"/>
              </m:rPr>
              <w:rPr>
                <w:rFonts w:ascii="Cambria Math" w:hAnsi="Cambria Math" w:cs="Arial"/>
                <w:sz w:val="18"/>
                <w:szCs w:val="16"/>
                <w:lang w:val="es-CO"/>
              </w:rPr>
              <m:t>Tasas de Interés</m:t>
            </m:r>
          </m:sub>
        </m:sSub>
        <m:r>
          <m:rPr>
            <m:sty m:val="bi"/>
          </m:rPr>
          <w:rPr>
            <w:rFonts w:ascii="Cambria Math" w:hAnsi="Cambria Math" w:cs="Arial"/>
            <w:sz w:val="12"/>
            <w:szCs w:val="16"/>
            <w:lang w:val="es-CO"/>
          </w:rPr>
          <m:t xml:space="preserve"> =</m:t>
        </m:r>
        <m:sSup>
          <m:sSupPr>
            <m:ctrlPr>
              <w:rPr>
                <w:rFonts w:ascii="Cambria Math" w:hAnsi="Cambria Math" w:cs="Arial"/>
                <w:b/>
                <w:i/>
                <w:sz w:val="12"/>
                <w:szCs w:val="16"/>
                <w:lang w:val="es-CO"/>
              </w:rPr>
            </m:ctrlPr>
          </m:sSupPr>
          <m:e>
            <m:d>
              <m:dPr>
                <m:begChr m:val="{"/>
                <m:endChr m:val="}"/>
                <m:ctrlPr>
                  <w:rPr>
                    <w:rFonts w:ascii="Cambria Math" w:hAnsi="Cambria Math" w:cs="Arial"/>
                    <w:b/>
                    <w:i/>
                    <w:sz w:val="12"/>
                    <w:szCs w:val="16"/>
                    <w:lang w:val="es-CO"/>
                  </w:rPr>
                </m:ctrlPr>
              </m:dPr>
              <m:e>
                <m:sSup>
                  <m:sSupPr>
                    <m:ctrlPr>
                      <w:rPr>
                        <w:rFonts w:ascii="Cambria Math" w:hAnsi="Cambria Math" w:cs="Arial"/>
                        <w:b/>
                        <w:i/>
                        <w:sz w:val="12"/>
                        <w:szCs w:val="16"/>
                        <w:lang w:val="es-CO"/>
                      </w:rPr>
                    </m:ctrlPr>
                  </m:sSupPr>
                  <m:e>
                    <m:d>
                      <m:dPr>
                        <m:ctrlPr>
                          <w:rPr>
                            <w:rFonts w:ascii="Cambria Math" w:hAnsi="Cambria Math" w:cs="Arial"/>
                            <w:b/>
                            <w:i/>
                            <w:sz w:val="12"/>
                            <w:szCs w:val="16"/>
                            <w:lang w:val="es-CO"/>
                          </w:rPr>
                        </m:ctrlPr>
                      </m:dPr>
                      <m:e>
                        <m:sSub>
                          <m:sSubPr>
                            <m:ctrlPr>
                              <w:rPr>
                                <w:rFonts w:ascii="Cambria Math" w:hAnsi="Cambria Math" w:cs="Arial"/>
                                <w:b/>
                                <w:sz w:val="18"/>
                                <w:szCs w:val="16"/>
                                <w:lang w:val="es-CO"/>
                              </w:rPr>
                            </m:ctrlPr>
                          </m:sSubPr>
                          <m:e>
                            <m:r>
                              <m:rPr>
                                <m:sty m:val="bi"/>
                              </m:rPr>
                              <w:rPr>
                                <w:rFonts w:ascii="Cambria Math" w:hAnsi="Cambria Math" w:cs="Arial"/>
                                <w:sz w:val="18"/>
                                <w:szCs w:val="16"/>
                                <w:lang w:val="es-CO"/>
                              </w:rPr>
                              <m:t>D</m:t>
                            </m:r>
                          </m:e>
                          <m:sub>
                            <m:r>
                              <m:rPr>
                                <m:sty m:val="b"/>
                              </m:rPr>
                              <w:rPr>
                                <w:rFonts w:ascii="Cambria Math" w:hAnsi="Cambria Math" w:cs="Arial"/>
                                <w:sz w:val="18"/>
                                <w:szCs w:val="16"/>
                                <w:lang w:val="es-CO"/>
                              </w:rPr>
                              <m:t>1</m:t>
                            </m:r>
                          </m:sub>
                        </m:sSub>
                      </m:e>
                    </m:d>
                  </m:e>
                  <m:sup>
                    <m:r>
                      <m:rPr>
                        <m:sty m:val="bi"/>
                      </m:rPr>
                      <w:rPr>
                        <w:rFonts w:ascii="Cambria Math" w:hAnsi="Cambria Math" w:cs="Arial"/>
                        <w:sz w:val="12"/>
                        <w:szCs w:val="16"/>
                        <w:lang w:val="es-CO"/>
                      </w:rPr>
                      <m:t>2</m:t>
                    </m:r>
                  </m:sup>
                </m:sSup>
                <m:r>
                  <m:rPr>
                    <m:sty m:val="bi"/>
                  </m:rPr>
                  <w:rPr>
                    <w:rFonts w:ascii="Cambria Math" w:hAnsi="Cambria Math" w:cs="Arial"/>
                    <w:sz w:val="12"/>
                    <w:szCs w:val="16"/>
                    <w:lang w:val="es-CO"/>
                  </w:rPr>
                  <m:t>+</m:t>
                </m:r>
                <m:sSup>
                  <m:sSupPr>
                    <m:ctrlPr>
                      <w:rPr>
                        <w:rFonts w:ascii="Cambria Math" w:hAnsi="Cambria Math" w:cs="Arial"/>
                        <w:b/>
                        <w:i/>
                        <w:sz w:val="12"/>
                        <w:szCs w:val="16"/>
                        <w:lang w:val="es-CO"/>
                      </w:rPr>
                    </m:ctrlPr>
                  </m:sSupPr>
                  <m:e>
                    <m:d>
                      <m:dPr>
                        <m:ctrlPr>
                          <w:rPr>
                            <w:rFonts w:ascii="Cambria Math" w:hAnsi="Cambria Math" w:cs="Arial"/>
                            <w:b/>
                            <w:i/>
                            <w:sz w:val="12"/>
                            <w:szCs w:val="16"/>
                            <w:lang w:val="es-CO"/>
                          </w:rPr>
                        </m:ctrlPr>
                      </m:dPr>
                      <m:e>
                        <m:sSub>
                          <m:sSubPr>
                            <m:ctrlPr>
                              <w:rPr>
                                <w:rFonts w:ascii="Cambria Math" w:hAnsi="Cambria Math" w:cs="Arial"/>
                                <w:b/>
                                <w:sz w:val="18"/>
                                <w:szCs w:val="16"/>
                                <w:lang w:val="es-CO"/>
                              </w:rPr>
                            </m:ctrlPr>
                          </m:sSubPr>
                          <m:e>
                            <m:r>
                              <m:rPr>
                                <m:sty m:val="bi"/>
                              </m:rPr>
                              <w:rPr>
                                <w:rFonts w:ascii="Cambria Math" w:hAnsi="Cambria Math" w:cs="Arial"/>
                                <w:sz w:val="18"/>
                                <w:szCs w:val="16"/>
                                <w:lang w:val="es-CO"/>
                              </w:rPr>
                              <m:t>D</m:t>
                            </m:r>
                          </m:e>
                          <m:sub>
                            <m:r>
                              <m:rPr>
                                <m:sty m:val="b"/>
                              </m:rPr>
                              <w:rPr>
                                <w:rFonts w:ascii="Cambria Math" w:hAnsi="Cambria Math" w:cs="Arial"/>
                                <w:sz w:val="18"/>
                                <w:szCs w:val="16"/>
                                <w:lang w:val="es-CO"/>
                              </w:rPr>
                              <m:t>2</m:t>
                            </m:r>
                          </m:sub>
                        </m:sSub>
                      </m:e>
                    </m:d>
                  </m:e>
                  <m:sup>
                    <m:r>
                      <m:rPr>
                        <m:sty m:val="bi"/>
                      </m:rPr>
                      <w:rPr>
                        <w:rFonts w:ascii="Cambria Math" w:hAnsi="Cambria Math" w:cs="Arial"/>
                        <w:sz w:val="12"/>
                        <w:szCs w:val="16"/>
                        <w:lang w:val="es-CO"/>
                      </w:rPr>
                      <m:t>2</m:t>
                    </m:r>
                  </m:sup>
                </m:sSup>
                <m:sSup>
                  <m:sSupPr>
                    <m:ctrlPr>
                      <w:rPr>
                        <w:rFonts w:ascii="Cambria Math" w:hAnsi="Cambria Math" w:cs="Arial"/>
                        <w:b/>
                        <w:i/>
                        <w:sz w:val="12"/>
                        <w:szCs w:val="16"/>
                        <w:lang w:val="es-CO"/>
                      </w:rPr>
                    </m:ctrlPr>
                  </m:sSupPr>
                  <m:e>
                    <m:r>
                      <m:rPr>
                        <m:sty m:val="bi"/>
                      </m:rPr>
                      <w:rPr>
                        <w:rFonts w:ascii="Cambria Math" w:hAnsi="Cambria Math" w:cs="Arial"/>
                        <w:sz w:val="12"/>
                        <w:szCs w:val="16"/>
                        <w:lang w:val="es-CO"/>
                      </w:rPr>
                      <m:t>+</m:t>
                    </m:r>
                    <m:d>
                      <m:dPr>
                        <m:ctrlPr>
                          <w:rPr>
                            <w:rFonts w:ascii="Cambria Math" w:hAnsi="Cambria Math" w:cs="Arial"/>
                            <w:b/>
                            <w:i/>
                            <w:sz w:val="12"/>
                            <w:szCs w:val="16"/>
                            <w:lang w:val="es-CO"/>
                          </w:rPr>
                        </m:ctrlPr>
                      </m:dPr>
                      <m:e>
                        <m:sSub>
                          <m:sSubPr>
                            <m:ctrlPr>
                              <w:rPr>
                                <w:rFonts w:ascii="Cambria Math" w:hAnsi="Cambria Math" w:cs="Arial"/>
                                <w:b/>
                                <w:sz w:val="18"/>
                                <w:szCs w:val="16"/>
                                <w:lang w:val="es-CO"/>
                              </w:rPr>
                            </m:ctrlPr>
                          </m:sSubPr>
                          <m:e>
                            <m:r>
                              <m:rPr>
                                <m:sty m:val="bi"/>
                              </m:rPr>
                              <w:rPr>
                                <w:rFonts w:ascii="Cambria Math" w:hAnsi="Cambria Math" w:cs="Arial"/>
                                <w:sz w:val="18"/>
                                <w:szCs w:val="16"/>
                                <w:lang w:val="es-CO"/>
                              </w:rPr>
                              <m:t>D</m:t>
                            </m:r>
                          </m:e>
                          <m:sub>
                            <m:r>
                              <m:rPr>
                                <m:sty m:val="b"/>
                              </m:rPr>
                              <w:rPr>
                                <w:rFonts w:ascii="Cambria Math" w:hAnsi="Cambria Math" w:cs="Arial"/>
                                <w:sz w:val="18"/>
                                <w:szCs w:val="16"/>
                                <w:lang w:val="es-CO"/>
                              </w:rPr>
                              <m:t>3</m:t>
                            </m:r>
                          </m:sub>
                        </m:sSub>
                      </m:e>
                    </m:d>
                  </m:e>
                  <m:sup>
                    <m:r>
                      <m:rPr>
                        <m:sty m:val="bi"/>
                      </m:rPr>
                      <w:rPr>
                        <w:rFonts w:ascii="Cambria Math" w:hAnsi="Cambria Math" w:cs="Arial"/>
                        <w:sz w:val="12"/>
                        <w:szCs w:val="16"/>
                        <w:lang w:val="es-CO"/>
                      </w:rPr>
                      <m:t>2</m:t>
                    </m:r>
                  </m:sup>
                </m:sSup>
                <m:r>
                  <m:rPr>
                    <m:sty m:val="bi"/>
                  </m:rPr>
                  <w:rPr>
                    <w:rFonts w:ascii="Cambria Math" w:hAnsi="Cambria Math" w:cs="Arial"/>
                    <w:sz w:val="12"/>
                    <w:szCs w:val="16"/>
                    <w:lang w:val="es-CO"/>
                  </w:rPr>
                  <m:t xml:space="preserve">+ </m:t>
                </m:r>
                <m:sSub>
                  <m:sSubPr>
                    <m:ctrlPr>
                      <w:rPr>
                        <w:rFonts w:ascii="Cambria Math" w:hAnsi="Cambria Math" w:cs="Arial"/>
                        <w:b/>
                        <w:sz w:val="18"/>
                        <w:szCs w:val="16"/>
                        <w:lang w:val="es-CO"/>
                      </w:rPr>
                    </m:ctrlPr>
                  </m:sSubPr>
                  <m:e>
                    <m:r>
                      <m:rPr>
                        <m:sty m:val="bi"/>
                      </m:rPr>
                      <w:rPr>
                        <w:rFonts w:ascii="Cambria Math" w:hAnsi="Cambria Math" w:cs="Arial"/>
                        <w:sz w:val="18"/>
                        <w:szCs w:val="16"/>
                        <w:lang w:val="es-CO"/>
                      </w:rPr>
                      <m:t>1.4*D</m:t>
                    </m:r>
                  </m:e>
                  <m:sub>
                    <m:r>
                      <m:rPr>
                        <m:sty m:val="b"/>
                      </m:rPr>
                      <w:rPr>
                        <w:rFonts w:ascii="Cambria Math" w:hAnsi="Cambria Math" w:cs="Arial"/>
                        <w:sz w:val="18"/>
                        <w:szCs w:val="16"/>
                        <w:lang w:val="es-CO"/>
                      </w:rPr>
                      <m:t>1</m:t>
                    </m:r>
                  </m:sub>
                </m:sSub>
                <m:sSub>
                  <m:sSubPr>
                    <m:ctrlPr>
                      <w:rPr>
                        <w:rFonts w:ascii="Cambria Math" w:hAnsi="Cambria Math" w:cs="Arial"/>
                        <w:b/>
                        <w:sz w:val="18"/>
                        <w:szCs w:val="16"/>
                        <w:lang w:val="es-CO"/>
                      </w:rPr>
                    </m:ctrlPr>
                  </m:sSubPr>
                  <m:e>
                    <m:r>
                      <m:rPr>
                        <m:sty m:val="bi"/>
                      </m:rPr>
                      <w:rPr>
                        <w:rFonts w:ascii="Cambria Math" w:hAnsi="Cambria Math" w:cs="Arial"/>
                        <w:sz w:val="18"/>
                        <w:szCs w:val="16"/>
                        <w:lang w:val="es-CO"/>
                      </w:rPr>
                      <m:t>*D</m:t>
                    </m:r>
                  </m:e>
                  <m:sub>
                    <m:r>
                      <m:rPr>
                        <m:sty m:val="b"/>
                      </m:rPr>
                      <w:rPr>
                        <w:rFonts w:ascii="Cambria Math" w:hAnsi="Cambria Math" w:cs="Arial"/>
                        <w:sz w:val="18"/>
                        <w:szCs w:val="16"/>
                        <w:lang w:val="es-CO"/>
                      </w:rPr>
                      <m:t>2</m:t>
                    </m:r>
                  </m:sub>
                </m:sSub>
                <m:r>
                  <m:rPr>
                    <m:sty m:val="bi"/>
                  </m:rPr>
                  <w:rPr>
                    <w:rFonts w:ascii="Cambria Math" w:hAnsi="Cambria Math" w:cs="Arial"/>
                    <w:sz w:val="18"/>
                    <w:szCs w:val="16"/>
                    <w:lang w:val="es-CO"/>
                  </w:rPr>
                  <m:t>+1.4</m:t>
                </m:r>
                <m:sSub>
                  <m:sSubPr>
                    <m:ctrlPr>
                      <w:rPr>
                        <w:rFonts w:ascii="Cambria Math" w:hAnsi="Cambria Math" w:cs="Arial"/>
                        <w:b/>
                        <w:sz w:val="18"/>
                        <w:szCs w:val="16"/>
                        <w:lang w:val="es-CO"/>
                      </w:rPr>
                    </m:ctrlPr>
                  </m:sSubPr>
                  <m:e>
                    <m:r>
                      <m:rPr>
                        <m:sty m:val="bi"/>
                      </m:rPr>
                      <w:rPr>
                        <w:rFonts w:ascii="Cambria Math" w:hAnsi="Cambria Math" w:cs="Arial"/>
                        <w:sz w:val="18"/>
                        <w:szCs w:val="16"/>
                        <w:lang w:val="es-CO"/>
                      </w:rPr>
                      <m:t>*D</m:t>
                    </m:r>
                  </m:e>
                  <m:sub>
                    <m:r>
                      <m:rPr>
                        <m:sty m:val="b"/>
                      </m:rPr>
                      <w:rPr>
                        <w:rFonts w:ascii="Cambria Math" w:hAnsi="Cambria Math" w:cs="Arial"/>
                        <w:sz w:val="18"/>
                        <w:szCs w:val="16"/>
                        <w:lang w:val="es-CO"/>
                      </w:rPr>
                      <m:t>2</m:t>
                    </m:r>
                  </m:sub>
                </m:sSub>
                <m:r>
                  <m:rPr>
                    <m:sty m:val="bi"/>
                  </m:rPr>
                  <w:rPr>
                    <w:rFonts w:ascii="Cambria Math" w:hAnsi="Cambria Math" w:cs="Arial"/>
                    <w:sz w:val="18"/>
                    <w:szCs w:val="16"/>
                    <w:lang w:val="es-CO"/>
                  </w:rPr>
                  <m:t>*</m:t>
                </m:r>
                <m:sSub>
                  <m:sSubPr>
                    <m:ctrlPr>
                      <w:rPr>
                        <w:rFonts w:ascii="Cambria Math" w:hAnsi="Cambria Math" w:cs="Arial"/>
                        <w:b/>
                        <w:sz w:val="18"/>
                        <w:szCs w:val="16"/>
                        <w:lang w:val="es-CO"/>
                      </w:rPr>
                    </m:ctrlPr>
                  </m:sSubPr>
                  <m:e>
                    <m:r>
                      <m:rPr>
                        <m:sty m:val="bi"/>
                      </m:rPr>
                      <w:rPr>
                        <w:rFonts w:ascii="Cambria Math" w:hAnsi="Cambria Math" w:cs="Arial"/>
                        <w:sz w:val="18"/>
                        <w:szCs w:val="16"/>
                        <w:lang w:val="es-CO"/>
                      </w:rPr>
                      <m:t>D</m:t>
                    </m:r>
                  </m:e>
                  <m:sub>
                    <m:r>
                      <m:rPr>
                        <m:sty m:val="b"/>
                      </m:rPr>
                      <w:rPr>
                        <w:rFonts w:ascii="Cambria Math" w:hAnsi="Cambria Math" w:cs="Arial"/>
                        <w:sz w:val="18"/>
                        <w:szCs w:val="16"/>
                        <w:lang w:val="es-CO"/>
                      </w:rPr>
                      <m:t>3</m:t>
                    </m:r>
                  </m:sub>
                </m:sSub>
                <m:r>
                  <m:rPr>
                    <m:sty m:val="bi"/>
                  </m:rPr>
                  <w:rPr>
                    <w:rFonts w:ascii="Cambria Math" w:hAnsi="Cambria Math" w:cs="Arial"/>
                    <w:sz w:val="12"/>
                    <w:szCs w:val="16"/>
                    <w:lang w:val="es-CO"/>
                  </w:rPr>
                  <m:t>+</m:t>
                </m:r>
                <m:sSub>
                  <m:sSubPr>
                    <m:ctrlPr>
                      <w:rPr>
                        <w:rFonts w:ascii="Cambria Math" w:hAnsi="Cambria Math" w:cs="Arial"/>
                        <w:b/>
                        <w:sz w:val="18"/>
                        <w:szCs w:val="16"/>
                        <w:lang w:val="es-CO"/>
                      </w:rPr>
                    </m:ctrlPr>
                  </m:sSubPr>
                  <m:e>
                    <m:r>
                      <m:rPr>
                        <m:sty m:val="bi"/>
                      </m:rPr>
                      <w:rPr>
                        <w:rFonts w:ascii="Cambria Math" w:hAnsi="Cambria Math" w:cs="Arial"/>
                        <w:sz w:val="18"/>
                        <w:szCs w:val="16"/>
                        <w:lang w:val="es-CO"/>
                      </w:rPr>
                      <m:t>0.6*D</m:t>
                    </m:r>
                  </m:e>
                  <m:sub>
                    <m:r>
                      <m:rPr>
                        <m:sty m:val="b"/>
                      </m:rPr>
                      <w:rPr>
                        <w:rFonts w:ascii="Cambria Math" w:hAnsi="Cambria Math" w:cs="Arial"/>
                        <w:sz w:val="18"/>
                        <w:szCs w:val="16"/>
                        <w:lang w:val="es-CO"/>
                      </w:rPr>
                      <m:t>1</m:t>
                    </m:r>
                  </m:sub>
                </m:sSub>
                <m:r>
                  <m:rPr>
                    <m:sty m:val="bi"/>
                  </m:rPr>
                  <w:rPr>
                    <w:rFonts w:ascii="Cambria Math" w:hAnsi="Cambria Math" w:cs="Arial"/>
                    <w:sz w:val="18"/>
                    <w:szCs w:val="16"/>
                    <w:lang w:val="es-CO"/>
                  </w:rPr>
                  <m:t>*</m:t>
                </m:r>
                <m:sSub>
                  <m:sSubPr>
                    <m:ctrlPr>
                      <w:rPr>
                        <w:rFonts w:ascii="Cambria Math" w:hAnsi="Cambria Math" w:cs="Arial"/>
                        <w:b/>
                        <w:sz w:val="18"/>
                        <w:szCs w:val="16"/>
                        <w:lang w:val="es-CO"/>
                      </w:rPr>
                    </m:ctrlPr>
                  </m:sSubPr>
                  <m:e>
                    <m:r>
                      <m:rPr>
                        <m:sty m:val="bi"/>
                      </m:rPr>
                      <w:rPr>
                        <w:rFonts w:ascii="Cambria Math" w:hAnsi="Cambria Math" w:cs="Arial"/>
                        <w:sz w:val="18"/>
                        <w:szCs w:val="16"/>
                        <w:lang w:val="es-CO"/>
                      </w:rPr>
                      <m:t>D</m:t>
                    </m:r>
                  </m:e>
                  <m:sub>
                    <m:r>
                      <m:rPr>
                        <m:sty m:val="b"/>
                      </m:rPr>
                      <w:rPr>
                        <w:rFonts w:ascii="Cambria Math" w:hAnsi="Cambria Math" w:cs="Arial"/>
                        <w:sz w:val="18"/>
                        <w:szCs w:val="16"/>
                        <w:lang w:val="es-CO"/>
                      </w:rPr>
                      <m:t>3</m:t>
                    </m:r>
                  </m:sub>
                </m:sSub>
                <m:r>
                  <m:rPr>
                    <m:sty m:val="bi"/>
                  </m:rPr>
                  <w:rPr>
                    <w:rFonts w:ascii="Cambria Math" w:hAnsi="Cambria Math" w:cs="Arial"/>
                    <w:sz w:val="12"/>
                    <w:szCs w:val="16"/>
                    <w:lang w:val="es-CO"/>
                  </w:rPr>
                  <m:t xml:space="preserve"> </m:t>
                </m:r>
              </m:e>
            </m:d>
          </m:e>
          <m:sup>
            <m:r>
              <m:rPr>
                <m:sty m:val="bi"/>
              </m:rPr>
              <w:rPr>
                <w:rFonts w:ascii="Cambria Math" w:hAnsi="Cambria Math" w:cs="Arial"/>
                <w:sz w:val="12"/>
                <w:szCs w:val="16"/>
                <w:lang w:val="es-CO"/>
              </w:rPr>
              <m:t>1/2</m:t>
            </m:r>
          </m:sup>
        </m:sSup>
      </m:oMath>
      <w:r w:rsidR="00BD4536" w:rsidRPr="00BF5D08">
        <w:rPr>
          <w:rFonts w:cs="Arial"/>
          <w:b/>
          <w:sz w:val="16"/>
          <w:szCs w:val="16"/>
          <w:lang w:val="es-ES"/>
        </w:rPr>
        <w:t xml:space="preserve"> </w:t>
      </w:r>
    </w:p>
    <w:p w14:paraId="06DE8A61" w14:textId="2AE16C40" w:rsidR="00BD4536" w:rsidRDefault="00BD4536" w:rsidP="00B67EED">
      <w:pPr>
        <w:tabs>
          <w:tab w:val="left" w:pos="851"/>
          <w:tab w:val="left" w:pos="1701"/>
        </w:tabs>
        <w:ind w:left="567" w:hanging="567"/>
        <w:rPr>
          <w:rFonts w:cs="Arial"/>
          <w:b/>
          <w:sz w:val="16"/>
          <w:szCs w:val="16"/>
          <w:lang w:val="es-ES"/>
        </w:rPr>
      </w:pPr>
    </w:p>
    <w:p w14:paraId="239A5AC9" w14:textId="77777777" w:rsidR="00BD4536" w:rsidRPr="001F38A5" w:rsidRDefault="00BD4536" w:rsidP="00B67EED">
      <w:pPr>
        <w:tabs>
          <w:tab w:val="left" w:pos="851"/>
          <w:tab w:val="left" w:pos="1701"/>
        </w:tabs>
        <w:ind w:left="567" w:hanging="567"/>
        <w:rPr>
          <w:rFonts w:cs="Arial"/>
          <w:b/>
          <w:sz w:val="16"/>
          <w:szCs w:val="16"/>
          <w:lang w:val="es-ES"/>
        </w:rPr>
      </w:pPr>
    </w:p>
    <w:p w14:paraId="40BD9E5D" w14:textId="3DCE1352" w:rsidR="002E0710" w:rsidRPr="001F38A5" w:rsidRDefault="00171CCF" w:rsidP="00B67EED">
      <w:pPr>
        <w:tabs>
          <w:tab w:val="left" w:pos="851"/>
          <w:tab w:val="left" w:pos="1701"/>
        </w:tabs>
        <w:ind w:left="570" w:hanging="567"/>
        <w:rPr>
          <w:rFonts w:cs="Arial"/>
          <w:b/>
          <w:sz w:val="16"/>
          <w:szCs w:val="16"/>
          <w:lang w:val="es-ES"/>
        </w:rPr>
      </w:pPr>
      <w:r w:rsidRPr="001F38A5">
        <w:rPr>
          <w:rFonts w:cs="Arial"/>
          <w:b/>
          <w:sz w:val="16"/>
          <w:szCs w:val="16"/>
          <w:lang w:val="es-ES"/>
        </w:rPr>
        <w:tab/>
      </w:r>
      <w:r w:rsidR="00287A8B" w:rsidRPr="00287A8B">
        <w:rPr>
          <w:rFonts w:cs="Arial"/>
          <w:b/>
          <w:sz w:val="16"/>
          <w:szCs w:val="16"/>
          <w:lang w:val="es-ES"/>
        </w:rPr>
        <w:t>Al interior de cada una de estas categorías de neteo también se deberá</w:t>
      </w:r>
      <w:r w:rsidR="00B70C5C">
        <w:rPr>
          <w:rFonts w:cs="Arial"/>
          <w:b/>
          <w:sz w:val="16"/>
          <w:szCs w:val="16"/>
          <w:lang w:val="es-ES"/>
        </w:rPr>
        <w:t>n</w:t>
      </w:r>
      <w:r w:rsidR="00287A8B" w:rsidRPr="00287A8B">
        <w:rPr>
          <w:rFonts w:cs="Arial"/>
          <w:b/>
          <w:sz w:val="16"/>
          <w:szCs w:val="16"/>
          <w:lang w:val="es-ES"/>
        </w:rPr>
        <w:t xml:space="preserve"> segmentar las operaciones en función de la moneda en la que se encuentre denominado el subyacente</w:t>
      </w:r>
      <w:r w:rsidR="000B2730">
        <w:rPr>
          <w:rFonts w:cs="Arial"/>
          <w:b/>
          <w:sz w:val="16"/>
          <w:szCs w:val="16"/>
          <w:lang w:val="es-ES"/>
        </w:rPr>
        <w:t>.</w:t>
      </w:r>
      <w:r w:rsidR="001844C8">
        <w:rPr>
          <w:rFonts w:cs="Arial"/>
          <w:b/>
          <w:sz w:val="16"/>
          <w:szCs w:val="16"/>
          <w:lang w:val="es-ES"/>
        </w:rPr>
        <w:t xml:space="preserve"> Por lo </w:t>
      </w:r>
      <w:r w:rsidR="00AF64AF">
        <w:rPr>
          <w:rFonts w:cs="Arial"/>
          <w:b/>
          <w:sz w:val="16"/>
          <w:szCs w:val="16"/>
          <w:lang w:val="es-ES"/>
        </w:rPr>
        <w:t>tanto,</w:t>
      </w:r>
      <w:r w:rsidR="001844C8">
        <w:rPr>
          <w:rFonts w:cs="Arial"/>
          <w:b/>
          <w:sz w:val="16"/>
          <w:szCs w:val="16"/>
          <w:lang w:val="es-ES"/>
        </w:rPr>
        <w:t xml:space="preserve"> al interior de cada categoría de neteo j podrán existir múltiples segmentos que no se pueden netear entre sí. </w:t>
      </w:r>
      <w:r w:rsidR="00B55218">
        <w:rPr>
          <w:rFonts w:cs="Arial"/>
          <w:b/>
          <w:sz w:val="16"/>
          <w:szCs w:val="16"/>
          <w:lang w:val="es-ES"/>
        </w:rPr>
        <w:t>Al interior de cada categoría de neteo únicamente se podrán netear aquellos contratos que se encuentren denominados en la misma moneda</w:t>
      </w:r>
      <w:r w:rsidR="00AF64AF">
        <w:rPr>
          <w:rFonts w:cs="Arial"/>
          <w:b/>
          <w:sz w:val="16"/>
          <w:szCs w:val="16"/>
          <w:lang w:val="es-ES"/>
        </w:rPr>
        <w:t>.</w:t>
      </w:r>
    </w:p>
    <w:p w14:paraId="1E64A1CC" w14:textId="159FD206" w:rsidR="005D41EA" w:rsidRDefault="005D41EA" w:rsidP="00B67EED">
      <w:pPr>
        <w:tabs>
          <w:tab w:val="left" w:pos="851"/>
          <w:tab w:val="left" w:pos="1701"/>
        </w:tabs>
        <w:ind w:left="570" w:hanging="567"/>
        <w:rPr>
          <w:rFonts w:cs="Arial"/>
          <w:bCs/>
          <w:sz w:val="16"/>
          <w:szCs w:val="16"/>
          <w:lang w:val="es-ES"/>
        </w:rPr>
      </w:pPr>
    </w:p>
    <w:p w14:paraId="2F48EB86" w14:textId="2DC90E85" w:rsidR="005D41EA" w:rsidRPr="001F38A5" w:rsidRDefault="005D41EA" w:rsidP="00B67EED">
      <w:pPr>
        <w:tabs>
          <w:tab w:val="left" w:pos="851"/>
          <w:tab w:val="left" w:pos="1701"/>
        </w:tabs>
        <w:ind w:left="570" w:hanging="567"/>
        <w:rPr>
          <w:rFonts w:cs="Arial"/>
          <w:b/>
          <w:sz w:val="16"/>
          <w:szCs w:val="16"/>
          <w:lang w:val="es-ES"/>
        </w:rPr>
      </w:pPr>
      <w:r>
        <w:rPr>
          <w:rFonts w:cs="Arial"/>
          <w:b/>
          <w:sz w:val="16"/>
          <w:szCs w:val="16"/>
          <w:lang w:eastAsia="es-ES"/>
        </w:rPr>
        <w:t xml:space="preserve">            </w:t>
      </w:r>
      <w:r w:rsidR="00004D1E">
        <w:rPr>
          <w:rFonts w:cs="Arial"/>
          <w:b/>
          <w:sz w:val="16"/>
          <w:szCs w:val="16"/>
          <w:lang w:eastAsia="es-ES"/>
        </w:rPr>
        <w:t xml:space="preserve"> </w:t>
      </w:r>
      <w:r w:rsidRPr="001E6097">
        <w:rPr>
          <w:rFonts w:cs="Arial"/>
          <w:b/>
          <w:sz w:val="16"/>
          <w:szCs w:val="16"/>
          <w:lang w:eastAsia="es-ES"/>
        </w:rPr>
        <w:t>Para instrumentos financiero</w:t>
      </w:r>
      <w:r>
        <w:rPr>
          <w:rFonts w:cs="Arial"/>
          <w:b/>
          <w:sz w:val="16"/>
          <w:szCs w:val="16"/>
          <w:lang w:eastAsia="es-ES"/>
        </w:rPr>
        <w:t>s derivados</w:t>
      </w:r>
      <w:r w:rsidRPr="001E6097">
        <w:rPr>
          <w:rFonts w:cs="Arial"/>
          <w:b/>
          <w:sz w:val="16"/>
          <w:szCs w:val="16"/>
          <w:lang w:eastAsia="es-ES"/>
        </w:rPr>
        <w:t xml:space="preserve"> de transacción de base (</w:t>
      </w:r>
      <w:r w:rsidRPr="00864868">
        <w:rPr>
          <w:rFonts w:cs="Arial"/>
          <w:b/>
          <w:i/>
          <w:sz w:val="16"/>
          <w:szCs w:val="16"/>
          <w:lang w:eastAsia="es-ES"/>
        </w:rPr>
        <w:t xml:space="preserve">basis </w:t>
      </w:r>
      <w:proofErr w:type="spellStart"/>
      <w:r w:rsidRPr="00864868">
        <w:rPr>
          <w:rFonts w:cs="Arial"/>
          <w:b/>
          <w:i/>
          <w:sz w:val="16"/>
          <w:szCs w:val="16"/>
          <w:lang w:eastAsia="es-ES"/>
        </w:rPr>
        <w:t>transaction</w:t>
      </w:r>
      <w:proofErr w:type="spellEnd"/>
      <w:r w:rsidRPr="001F38A5">
        <w:rPr>
          <w:rFonts w:cs="Arial"/>
          <w:b/>
          <w:sz w:val="16"/>
          <w:szCs w:val="16"/>
          <w:lang w:eastAsia="es-ES"/>
        </w:rPr>
        <w:t xml:space="preserve">) el FC, calculado según el numeral 1.4, debe ser multiplicado por 0.5 y </w:t>
      </w:r>
      <w:r w:rsidRPr="001F38A5">
        <w:rPr>
          <w:rFonts w:cs="Arial"/>
          <w:b/>
          <w:sz w:val="16"/>
          <w:szCs w:val="16"/>
          <w:lang w:val="es-ES"/>
        </w:rPr>
        <w:t>se debe crear una categoría de neteo</w:t>
      </w:r>
      <w:r w:rsidR="00004D1E" w:rsidRPr="001F38A5">
        <w:rPr>
          <w:rFonts w:cs="Arial"/>
          <w:b/>
          <w:sz w:val="16"/>
          <w:szCs w:val="16"/>
          <w:lang w:val="es-ES"/>
        </w:rPr>
        <w:t xml:space="preserve"> </w:t>
      </w:r>
      <w:r w:rsidRPr="001F38A5">
        <w:rPr>
          <w:rFonts w:cs="Arial"/>
          <w:b/>
          <w:sz w:val="16"/>
          <w:szCs w:val="16"/>
          <w:lang w:val="es-ES"/>
        </w:rPr>
        <w:t xml:space="preserve">individual para cada par de </w:t>
      </w:r>
      <w:r w:rsidR="00DD62E3">
        <w:rPr>
          <w:rFonts w:cs="Arial"/>
          <w:b/>
          <w:sz w:val="16"/>
          <w:szCs w:val="16"/>
          <w:lang w:val="es-ES"/>
        </w:rPr>
        <w:t>tasas</w:t>
      </w:r>
      <w:r w:rsidR="009D7B84">
        <w:rPr>
          <w:rFonts w:cs="Arial"/>
          <w:b/>
          <w:sz w:val="16"/>
          <w:szCs w:val="16"/>
          <w:lang w:val="es-ES"/>
        </w:rPr>
        <w:t xml:space="preserve"> faciales de referencia</w:t>
      </w:r>
      <w:r w:rsidRPr="001F38A5">
        <w:rPr>
          <w:rFonts w:cs="Arial"/>
          <w:b/>
          <w:sz w:val="16"/>
          <w:szCs w:val="16"/>
          <w:lang w:val="es-ES"/>
        </w:rPr>
        <w:t xml:space="preserve"> (</w:t>
      </w:r>
      <w:proofErr w:type="spellStart"/>
      <w:r w:rsidRPr="001F38A5">
        <w:rPr>
          <w:rFonts w:cs="Arial"/>
          <w:b/>
          <w:sz w:val="16"/>
          <w:szCs w:val="16"/>
          <w:lang w:val="es-ES"/>
        </w:rPr>
        <w:t>ej</w:t>
      </w:r>
      <w:r w:rsidR="0015234C">
        <w:rPr>
          <w:rFonts w:cs="Arial"/>
          <w:b/>
          <w:sz w:val="16"/>
          <w:szCs w:val="16"/>
          <w:lang w:val="es-ES"/>
        </w:rPr>
        <w:t>m</w:t>
      </w:r>
      <w:proofErr w:type="spellEnd"/>
      <w:r w:rsidRPr="001F38A5">
        <w:rPr>
          <w:rFonts w:cs="Arial"/>
          <w:b/>
          <w:sz w:val="16"/>
          <w:szCs w:val="16"/>
          <w:lang w:val="es-ES"/>
        </w:rPr>
        <w:t>. FFE-SOFR</w:t>
      </w:r>
      <w:r w:rsidR="00F5019F">
        <w:rPr>
          <w:rFonts w:cs="Arial"/>
          <w:b/>
          <w:sz w:val="16"/>
          <w:szCs w:val="16"/>
          <w:lang w:val="es-ES"/>
        </w:rPr>
        <w:t>,</w:t>
      </w:r>
      <w:r w:rsidR="00F5019F" w:rsidRPr="00F5019F">
        <w:t xml:space="preserve"> </w:t>
      </w:r>
      <w:r w:rsidR="00F5019F" w:rsidRPr="00F5019F">
        <w:rPr>
          <w:rFonts w:cs="Arial"/>
          <w:b/>
          <w:sz w:val="16"/>
          <w:szCs w:val="16"/>
          <w:lang w:val="es-ES"/>
        </w:rPr>
        <w:t>IBR</w:t>
      </w:r>
      <w:r w:rsidR="00F5019F">
        <w:rPr>
          <w:rFonts w:cs="Arial"/>
          <w:b/>
          <w:sz w:val="16"/>
          <w:szCs w:val="16"/>
          <w:lang w:val="es-ES"/>
        </w:rPr>
        <w:t>-</w:t>
      </w:r>
      <w:r w:rsidR="00F5019F" w:rsidRPr="00F5019F">
        <w:rPr>
          <w:rFonts w:cs="Arial"/>
          <w:b/>
          <w:sz w:val="16"/>
          <w:szCs w:val="16"/>
          <w:lang w:val="es-ES"/>
        </w:rPr>
        <w:t>IPC, IBR</w:t>
      </w:r>
      <w:r w:rsidR="00F5019F">
        <w:rPr>
          <w:rFonts w:cs="Arial"/>
          <w:b/>
          <w:sz w:val="16"/>
          <w:szCs w:val="16"/>
          <w:lang w:val="es-ES"/>
        </w:rPr>
        <w:t>-</w:t>
      </w:r>
      <w:r w:rsidR="00F5019F" w:rsidRPr="00F5019F">
        <w:rPr>
          <w:rFonts w:cs="Arial"/>
          <w:b/>
          <w:sz w:val="16"/>
          <w:szCs w:val="16"/>
          <w:lang w:val="es-ES"/>
        </w:rPr>
        <w:t>DTF, IPC</w:t>
      </w:r>
      <w:r w:rsidR="00F5019F">
        <w:rPr>
          <w:rFonts w:cs="Arial"/>
          <w:b/>
          <w:sz w:val="16"/>
          <w:szCs w:val="16"/>
          <w:lang w:val="es-ES"/>
        </w:rPr>
        <w:t>-</w:t>
      </w:r>
      <w:r w:rsidR="00F5019F" w:rsidRPr="00F5019F">
        <w:rPr>
          <w:rFonts w:cs="Arial"/>
          <w:b/>
          <w:sz w:val="16"/>
          <w:szCs w:val="16"/>
          <w:lang w:val="es-ES"/>
        </w:rPr>
        <w:t>DTF</w:t>
      </w:r>
      <w:r w:rsidR="0015234C">
        <w:rPr>
          <w:rFonts w:cs="Arial"/>
          <w:b/>
          <w:sz w:val="16"/>
          <w:szCs w:val="16"/>
          <w:lang w:val="es-ES"/>
        </w:rPr>
        <w:t>)</w:t>
      </w:r>
      <w:r w:rsidR="00B110E7">
        <w:rPr>
          <w:rFonts w:cs="Arial"/>
          <w:b/>
          <w:sz w:val="16"/>
          <w:szCs w:val="16"/>
          <w:lang w:val="es-ES"/>
        </w:rPr>
        <w:t>.</w:t>
      </w:r>
      <w:r w:rsidR="003A02D4">
        <w:rPr>
          <w:rFonts w:cs="Arial"/>
          <w:b/>
          <w:sz w:val="16"/>
          <w:szCs w:val="16"/>
          <w:lang w:val="es-ES"/>
        </w:rPr>
        <w:t xml:space="preserve"> </w:t>
      </w:r>
      <w:r w:rsidR="00B110E7">
        <w:rPr>
          <w:rFonts w:cs="Arial"/>
          <w:b/>
          <w:sz w:val="16"/>
          <w:szCs w:val="16"/>
          <w:lang w:val="es-ES"/>
        </w:rPr>
        <w:t>C</w:t>
      </w:r>
      <w:r w:rsidR="003A02D4">
        <w:rPr>
          <w:rFonts w:cs="Arial"/>
          <w:b/>
          <w:sz w:val="16"/>
          <w:szCs w:val="16"/>
          <w:lang w:val="es-ES"/>
        </w:rPr>
        <w:t>ada u</w:t>
      </w:r>
      <w:r w:rsidR="00117892">
        <w:rPr>
          <w:rFonts w:cs="Arial"/>
          <w:b/>
          <w:sz w:val="16"/>
          <w:szCs w:val="16"/>
          <w:lang w:val="es-ES"/>
        </w:rPr>
        <w:t>na</w:t>
      </w:r>
      <w:r w:rsidR="00B110E7">
        <w:rPr>
          <w:rFonts w:cs="Arial"/>
          <w:b/>
          <w:sz w:val="16"/>
          <w:szCs w:val="16"/>
          <w:lang w:val="es-ES"/>
        </w:rPr>
        <w:t xml:space="preserve"> de estas</w:t>
      </w:r>
      <w:r w:rsidR="00117892">
        <w:rPr>
          <w:rFonts w:cs="Arial"/>
          <w:b/>
          <w:sz w:val="16"/>
          <w:szCs w:val="16"/>
          <w:lang w:val="es-ES"/>
        </w:rPr>
        <w:t xml:space="preserve"> categorías </w:t>
      </w:r>
      <w:r w:rsidR="00B110E7">
        <w:rPr>
          <w:rFonts w:cs="Arial"/>
          <w:b/>
          <w:sz w:val="16"/>
          <w:szCs w:val="16"/>
          <w:lang w:val="es-ES"/>
        </w:rPr>
        <w:t xml:space="preserve">será </w:t>
      </w:r>
      <w:r w:rsidR="00117892">
        <w:rPr>
          <w:rFonts w:cs="Arial"/>
          <w:b/>
          <w:sz w:val="16"/>
          <w:szCs w:val="16"/>
          <w:lang w:val="es-ES"/>
        </w:rPr>
        <w:t>independiente</w:t>
      </w:r>
      <w:r w:rsidRPr="001F38A5">
        <w:rPr>
          <w:rFonts w:cs="Arial"/>
          <w:b/>
          <w:sz w:val="16"/>
          <w:szCs w:val="16"/>
          <w:lang w:val="es-ES"/>
        </w:rPr>
        <w:t xml:space="preserve"> dentro de un</w:t>
      </w:r>
      <w:r w:rsidR="00503E26">
        <w:rPr>
          <w:rFonts w:cs="Arial"/>
          <w:b/>
          <w:sz w:val="16"/>
          <w:szCs w:val="16"/>
          <w:lang w:val="es-ES"/>
        </w:rPr>
        <w:t>a</w:t>
      </w:r>
      <w:r w:rsidRPr="001F38A5">
        <w:rPr>
          <w:rFonts w:cs="Arial"/>
          <w:b/>
          <w:sz w:val="16"/>
          <w:szCs w:val="16"/>
          <w:lang w:val="es-ES"/>
        </w:rPr>
        <w:t xml:space="preserve"> mism</w:t>
      </w:r>
      <w:r w:rsidR="00503E26">
        <w:rPr>
          <w:rFonts w:cs="Arial"/>
          <w:b/>
          <w:sz w:val="16"/>
          <w:szCs w:val="16"/>
          <w:lang w:val="es-ES"/>
        </w:rPr>
        <w:t xml:space="preserve">a categoría de </w:t>
      </w:r>
      <w:proofErr w:type="gramStart"/>
      <w:r w:rsidR="00503E26">
        <w:rPr>
          <w:rFonts w:cs="Arial"/>
          <w:b/>
          <w:sz w:val="16"/>
          <w:szCs w:val="16"/>
          <w:lang w:val="es-ES"/>
        </w:rPr>
        <w:t>neteo.</w:t>
      </w:r>
      <w:r w:rsidRPr="001F38A5">
        <w:rPr>
          <w:rFonts w:cs="Arial"/>
          <w:b/>
          <w:sz w:val="16"/>
          <w:szCs w:val="16"/>
          <w:lang w:val="es-ES"/>
        </w:rPr>
        <w:t>.</w:t>
      </w:r>
      <w:proofErr w:type="gramEnd"/>
      <w:r w:rsidRPr="001F38A5">
        <w:rPr>
          <w:rFonts w:cs="Arial"/>
          <w:b/>
          <w:sz w:val="16"/>
          <w:szCs w:val="16"/>
          <w:lang w:eastAsia="es-ES"/>
        </w:rPr>
        <w:t xml:space="preserve"> </w:t>
      </w:r>
    </w:p>
    <w:p w14:paraId="1757E385" w14:textId="77777777" w:rsidR="00A47F48" w:rsidRDefault="00A47F48" w:rsidP="00B67EED">
      <w:pPr>
        <w:tabs>
          <w:tab w:val="left" w:pos="851"/>
          <w:tab w:val="left" w:pos="1701"/>
        </w:tabs>
        <w:ind w:left="567" w:hanging="567"/>
        <w:rPr>
          <w:rFonts w:cs="Arial"/>
          <w:b/>
          <w:sz w:val="16"/>
          <w:szCs w:val="16"/>
          <w:lang w:val="es-ES"/>
        </w:rPr>
      </w:pPr>
    </w:p>
    <w:p w14:paraId="7EF9FF67" w14:textId="40526EDF" w:rsidR="009F30D1" w:rsidRDefault="009F30D1" w:rsidP="00B67EED">
      <w:pPr>
        <w:tabs>
          <w:tab w:val="left" w:pos="851"/>
          <w:tab w:val="left" w:pos="1701"/>
        </w:tabs>
        <w:ind w:left="567" w:hanging="567"/>
        <w:rPr>
          <w:rFonts w:cs="Arial"/>
          <w:sz w:val="16"/>
          <w:szCs w:val="16"/>
          <w:lang w:val="es-ES"/>
        </w:rPr>
      </w:pPr>
      <w:r>
        <w:rPr>
          <w:rFonts w:cs="Arial"/>
          <w:b/>
          <w:sz w:val="16"/>
          <w:szCs w:val="16"/>
          <w:lang w:val="es-ES"/>
        </w:rPr>
        <w:t>i</w:t>
      </w:r>
      <w:r>
        <w:rPr>
          <w:rFonts w:cs="Arial"/>
          <w:b/>
          <w:sz w:val="16"/>
          <w:szCs w:val="16"/>
          <w:lang w:val="es-ES" w:eastAsia="es-ES"/>
        </w:rPr>
        <w:t xml:space="preserve"> </w:t>
      </w:r>
      <w:r>
        <w:rPr>
          <w:rFonts w:cs="Arial"/>
          <w:b/>
          <w:sz w:val="16"/>
          <w:szCs w:val="16"/>
          <w:vertAlign w:val="subscript"/>
          <w:lang w:eastAsia="es-ES"/>
        </w:rPr>
        <w:t xml:space="preserve">           </w:t>
      </w:r>
      <w:r>
        <w:rPr>
          <w:rFonts w:cs="Arial"/>
          <w:b/>
          <w:sz w:val="16"/>
          <w:szCs w:val="16"/>
          <w:lang w:eastAsia="es-ES"/>
        </w:rPr>
        <w:t xml:space="preserve"> </w:t>
      </w:r>
      <w:r>
        <w:rPr>
          <w:rFonts w:cs="Arial"/>
          <w:sz w:val="16"/>
          <w:szCs w:val="16"/>
          <w:lang w:eastAsia="es-ES"/>
        </w:rPr>
        <w:t xml:space="preserve">= </w:t>
      </w:r>
      <w:r>
        <w:rPr>
          <w:rFonts w:cs="Arial"/>
          <w:sz w:val="16"/>
          <w:szCs w:val="16"/>
          <w:lang w:val="es-ES"/>
        </w:rPr>
        <w:t>i-</w:t>
      </w:r>
      <w:proofErr w:type="spellStart"/>
      <w:r>
        <w:rPr>
          <w:rFonts w:cs="Arial"/>
          <w:sz w:val="16"/>
          <w:szCs w:val="16"/>
          <w:lang w:val="es-ES"/>
        </w:rPr>
        <w:t>ésima</w:t>
      </w:r>
      <w:proofErr w:type="spellEnd"/>
      <w:r>
        <w:rPr>
          <w:rFonts w:cs="Arial"/>
          <w:sz w:val="16"/>
          <w:szCs w:val="16"/>
          <w:lang w:val="es-ES"/>
        </w:rPr>
        <w:t xml:space="preserve"> operación del portafolio de instrumentos financieros derivados </w:t>
      </w:r>
      <w:r w:rsidR="000071D0" w:rsidRPr="00F21DBC">
        <w:rPr>
          <w:rFonts w:cs="Arial"/>
          <w:b/>
          <w:bCs/>
          <w:sz w:val="16"/>
          <w:szCs w:val="16"/>
          <w:lang w:val="es-ES"/>
        </w:rPr>
        <w:t>perteneciente a la misma categoría de neteo</w:t>
      </w:r>
      <w:r w:rsidR="000C4C4D" w:rsidRPr="00F21DBC">
        <w:rPr>
          <w:rFonts w:cs="Arial"/>
          <w:b/>
          <w:bCs/>
          <w:sz w:val="16"/>
          <w:szCs w:val="16"/>
          <w:lang w:val="es-ES"/>
        </w:rPr>
        <w:t xml:space="preserve"> j. </w:t>
      </w:r>
    </w:p>
    <w:p w14:paraId="57C80941" w14:textId="0E9E443E" w:rsidR="009F30D1" w:rsidRPr="00144218" w:rsidRDefault="009F30D1" w:rsidP="00B67EED">
      <w:pPr>
        <w:tabs>
          <w:tab w:val="left" w:pos="851"/>
          <w:tab w:val="left" w:pos="1701"/>
        </w:tabs>
        <w:rPr>
          <w:rFonts w:cs="Arial"/>
          <w:b/>
          <w:bCs/>
          <w:sz w:val="16"/>
          <w:szCs w:val="16"/>
          <w:lang w:val="es-ES"/>
        </w:rPr>
      </w:pPr>
    </w:p>
    <w:p w14:paraId="3017DFC0" w14:textId="25CE83D4" w:rsidR="009F30D1" w:rsidRDefault="009F30D1" w:rsidP="00B67EED">
      <w:pPr>
        <w:tabs>
          <w:tab w:val="left" w:pos="851"/>
          <w:tab w:val="left" w:pos="1701"/>
        </w:tabs>
        <w:ind w:left="567" w:hanging="567"/>
        <w:rPr>
          <w:rFonts w:cs="Arial"/>
          <w:b/>
          <w:bCs/>
          <w:sz w:val="16"/>
          <w:szCs w:val="16"/>
          <w:lang w:eastAsia="es-ES"/>
        </w:rPr>
      </w:pPr>
      <w:r>
        <w:rPr>
          <w:rFonts w:cs="Arial"/>
          <w:b/>
          <w:sz w:val="16"/>
          <w:szCs w:val="16"/>
          <w:lang w:eastAsia="es-ES"/>
        </w:rPr>
        <w:t xml:space="preserve">N </w:t>
      </w:r>
      <w:r>
        <w:rPr>
          <w:rFonts w:cs="Arial"/>
          <w:b/>
          <w:sz w:val="16"/>
          <w:szCs w:val="16"/>
          <w:vertAlign w:val="subscript"/>
          <w:lang w:eastAsia="es-ES"/>
        </w:rPr>
        <w:t xml:space="preserve">         </w:t>
      </w:r>
      <w:r>
        <w:rPr>
          <w:rFonts w:cs="Arial"/>
          <w:b/>
          <w:sz w:val="16"/>
          <w:szCs w:val="16"/>
          <w:lang w:eastAsia="es-ES"/>
        </w:rPr>
        <w:t xml:space="preserve"> </w:t>
      </w:r>
      <w:r>
        <w:rPr>
          <w:rFonts w:cs="Arial"/>
          <w:sz w:val="16"/>
          <w:szCs w:val="16"/>
          <w:lang w:eastAsia="es-ES"/>
        </w:rPr>
        <w:t xml:space="preserve">= Número </w:t>
      </w:r>
      <w:r w:rsidR="0087039D" w:rsidRPr="006E7A26">
        <w:rPr>
          <w:rFonts w:cs="Arial"/>
          <w:b/>
          <w:bCs/>
          <w:sz w:val="16"/>
          <w:szCs w:val="16"/>
          <w:lang w:eastAsia="es-ES"/>
        </w:rPr>
        <w:t>t</w:t>
      </w:r>
      <w:r w:rsidR="00056464" w:rsidRPr="006E7A26">
        <w:rPr>
          <w:rFonts w:cs="Arial"/>
          <w:b/>
          <w:bCs/>
          <w:sz w:val="16"/>
          <w:szCs w:val="16"/>
          <w:lang w:eastAsia="es-ES"/>
        </w:rPr>
        <w:t>otal</w:t>
      </w:r>
      <w:r w:rsidR="00056464">
        <w:rPr>
          <w:rFonts w:cs="Arial"/>
          <w:sz w:val="16"/>
          <w:szCs w:val="16"/>
          <w:lang w:eastAsia="es-ES"/>
        </w:rPr>
        <w:t xml:space="preserve"> </w:t>
      </w:r>
      <w:r>
        <w:rPr>
          <w:rFonts w:cs="Arial"/>
          <w:sz w:val="16"/>
          <w:szCs w:val="16"/>
          <w:lang w:eastAsia="es-ES"/>
        </w:rPr>
        <w:t xml:space="preserve">de instrumentos financieros derivados que </w:t>
      </w:r>
      <w:r w:rsidR="000C4C4D" w:rsidRPr="00861DFD">
        <w:rPr>
          <w:rFonts w:cs="Arial"/>
          <w:b/>
          <w:bCs/>
          <w:sz w:val="16"/>
          <w:szCs w:val="16"/>
          <w:lang w:eastAsia="es-ES"/>
        </w:rPr>
        <w:t>comparten el mismo subyacente</w:t>
      </w:r>
      <w:r w:rsidR="0063530B">
        <w:rPr>
          <w:rFonts w:cs="Arial"/>
          <w:b/>
          <w:bCs/>
          <w:sz w:val="16"/>
          <w:szCs w:val="16"/>
          <w:lang w:eastAsia="es-ES"/>
        </w:rPr>
        <w:t xml:space="preserve"> y moneda</w:t>
      </w:r>
      <w:r w:rsidR="009131D4">
        <w:rPr>
          <w:rFonts w:cs="Arial"/>
          <w:b/>
          <w:bCs/>
          <w:sz w:val="16"/>
          <w:szCs w:val="16"/>
          <w:lang w:eastAsia="es-ES"/>
        </w:rPr>
        <w:t xml:space="preserve"> según las categorías de neteo 1 a 5</w:t>
      </w:r>
      <w:r w:rsidR="00066848" w:rsidRPr="00861DFD">
        <w:rPr>
          <w:rFonts w:cs="Arial"/>
          <w:b/>
          <w:bCs/>
          <w:sz w:val="16"/>
          <w:szCs w:val="16"/>
          <w:lang w:eastAsia="es-ES"/>
        </w:rPr>
        <w:t>,</w:t>
      </w:r>
      <w:r w:rsidR="008273EE" w:rsidRPr="00861DFD">
        <w:rPr>
          <w:rFonts w:cs="Arial"/>
          <w:b/>
          <w:bCs/>
          <w:sz w:val="16"/>
          <w:szCs w:val="16"/>
          <w:lang w:eastAsia="es-ES"/>
        </w:rPr>
        <w:t xml:space="preserve"> o</w:t>
      </w:r>
      <w:r w:rsidR="00064873">
        <w:rPr>
          <w:rFonts w:cs="Arial"/>
          <w:b/>
          <w:bCs/>
          <w:sz w:val="16"/>
          <w:szCs w:val="16"/>
          <w:lang w:eastAsia="es-ES"/>
        </w:rPr>
        <w:t xml:space="preserve"> categorías de subyacentes resultantes</w:t>
      </w:r>
      <w:r w:rsidR="008273EE" w:rsidRPr="00861DFD">
        <w:rPr>
          <w:rFonts w:cs="Arial"/>
          <w:b/>
          <w:bCs/>
          <w:sz w:val="16"/>
          <w:szCs w:val="16"/>
          <w:lang w:eastAsia="es-ES"/>
        </w:rPr>
        <w:t xml:space="preserve"> </w:t>
      </w:r>
      <w:r w:rsidR="00067809">
        <w:rPr>
          <w:rFonts w:cs="Arial"/>
          <w:b/>
          <w:bCs/>
          <w:sz w:val="16"/>
          <w:szCs w:val="16"/>
          <w:lang w:eastAsia="es-ES"/>
        </w:rPr>
        <w:t xml:space="preserve">en caso de aplicarse el </w:t>
      </w:r>
      <w:r w:rsidR="00861DFD" w:rsidRPr="00861DFD">
        <w:rPr>
          <w:rFonts w:cs="Arial"/>
          <w:b/>
          <w:bCs/>
          <w:sz w:val="16"/>
          <w:szCs w:val="16"/>
          <w:lang w:eastAsia="es-ES"/>
        </w:rPr>
        <w:t>sub</w:t>
      </w:r>
      <w:r w:rsidR="008273EE" w:rsidRPr="00861DFD">
        <w:rPr>
          <w:rFonts w:cs="Arial"/>
          <w:b/>
          <w:bCs/>
          <w:sz w:val="16"/>
          <w:szCs w:val="16"/>
          <w:lang w:eastAsia="es-ES"/>
        </w:rPr>
        <w:t>numeral 1.4.1.</w:t>
      </w:r>
      <w:r w:rsidR="00314179">
        <w:rPr>
          <w:rFonts w:cs="Arial"/>
          <w:b/>
          <w:bCs/>
          <w:sz w:val="16"/>
          <w:szCs w:val="16"/>
          <w:lang w:eastAsia="es-ES"/>
        </w:rPr>
        <w:t>1</w:t>
      </w:r>
      <w:r w:rsidR="00861DFD" w:rsidRPr="00861DFD">
        <w:rPr>
          <w:rFonts w:cs="Arial"/>
          <w:b/>
          <w:bCs/>
          <w:sz w:val="16"/>
          <w:szCs w:val="16"/>
          <w:lang w:eastAsia="es-ES"/>
        </w:rPr>
        <w:t xml:space="preserve"> del presente </w:t>
      </w:r>
      <w:r w:rsidR="00836624">
        <w:rPr>
          <w:rFonts w:cs="Arial"/>
          <w:b/>
          <w:bCs/>
          <w:sz w:val="16"/>
          <w:szCs w:val="16"/>
          <w:lang w:eastAsia="es-ES"/>
        </w:rPr>
        <w:t>A</w:t>
      </w:r>
      <w:r w:rsidR="00861DFD" w:rsidRPr="00861DFD">
        <w:rPr>
          <w:rFonts w:cs="Arial"/>
          <w:b/>
          <w:bCs/>
          <w:sz w:val="16"/>
          <w:szCs w:val="16"/>
          <w:lang w:eastAsia="es-ES"/>
        </w:rPr>
        <w:t>nexo.</w:t>
      </w:r>
      <w:r w:rsidR="009131D4">
        <w:rPr>
          <w:rFonts w:cs="Arial"/>
          <w:b/>
          <w:bCs/>
          <w:sz w:val="16"/>
          <w:szCs w:val="16"/>
          <w:lang w:eastAsia="es-ES"/>
        </w:rPr>
        <w:t xml:space="preserve"> </w:t>
      </w:r>
    </w:p>
    <w:p w14:paraId="04C67984" w14:textId="77777777" w:rsidR="009131D4" w:rsidRDefault="009131D4" w:rsidP="00B67EED">
      <w:pPr>
        <w:tabs>
          <w:tab w:val="left" w:pos="851"/>
          <w:tab w:val="left" w:pos="1701"/>
        </w:tabs>
        <w:ind w:left="567" w:hanging="567"/>
        <w:rPr>
          <w:rFonts w:cs="Arial"/>
          <w:b/>
          <w:sz w:val="16"/>
          <w:szCs w:val="16"/>
          <w:lang w:eastAsia="es-ES"/>
        </w:rPr>
      </w:pPr>
    </w:p>
    <w:p w14:paraId="69101F78" w14:textId="60E12D55" w:rsidR="009131D4" w:rsidRDefault="009131D4" w:rsidP="00B67EED">
      <w:pPr>
        <w:tabs>
          <w:tab w:val="left" w:pos="851"/>
          <w:tab w:val="left" w:pos="1701"/>
        </w:tabs>
        <w:ind w:left="567" w:hanging="567"/>
        <w:rPr>
          <w:rFonts w:cs="Arial"/>
          <w:b/>
          <w:bCs/>
          <w:sz w:val="16"/>
          <w:szCs w:val="16"/>
          <w:lang w:eastAsia="es-ES"/>
        </w:rPr>
      </w:pPr>
      <w:r>
        <w:rPr>
          <w:rFonts w:cs="Arial"/>
          <w:b/>
          <w:sz w:val="16"/>
          <w:szCs w:val="16"/>
          <w:lang w:eastAsia="es-ES"/>
        </w:rPr>
        <w:t>B</w:t>
      </w:r>
      <w:r w:rsidR="00904874">
        <w:rPr>
          <w:rFonts w:cs="Arial"/>
          <w:b/>
          <w:sz w:val="16"/>
          <w:szCs w:val="16"/>
          <w:vertAlign w:val="subscript"/>
          <w:lang w:eastAsia="es-ES"/>
        </w:rPr>
        <w:t>X</w:t>
      </w:r>
      <w:r>
        <w:rPr>
          <w:rFonts w:cs="Arial"/>
          <w:b/>
          <w:sz w:val="16"/>
          <w:szCs w:val="16"/>
          <w:vertAlign w:val="subscript"/>
          <w:lang w:eastAsia="es-ES"/>
        </w:rPr>
        <w:t xml:space="preserve">             </w:t>
      </w:r>
      <w:r>
        <w:rPr>
          <w:rFonts w:cs="Arial"/>
          <w:sz w:val="16"/>
          <w:szCs w:val="16"/>
          <w:lang w:eastAsia="es-ES"/>
        </w:rPr>
        <w:t xml:space="preserve">= Número </w:t>
      </w:r>
      <w:r w:rsidRPr="006E7A26">
        <w:rPr>
          <w:rFonts w:cs="Arial"/>
          <w:b/>
          <w:bCs/>
          <w:sz w:val="16"/>
          <w:szCs w:val="16"/>
          <w:lang w:eastAsia="es-ES"/>
        </w:rPr>
        <w:t>total</w:t>
      </w:r>
      <w:r>
        <w:rPr>
          <w:rFonts w:cs="Arial"/>
          <w:sz w:val="16"/>
          <w:szCs w:val="16"/>
          <w:lang w:eastAsia="es-ES"/>
        </w:rPr>
        <w:t xml:space="preserve"> de instrumentos financieros derivados sobre Tasas de Interés categorizados en la banda </w:t>
      </w:r>
      <w:r w:rsidR="00667AB0">
        <w:rPr>
          <w:rFonts w:cs="Arial"/>
          <w:sz w:val="16"/>
          <w:szCs w:val="16"/>
          <w:lang w:eastAsia="es-ES"/>
        </w:rPr>
        <w:t>x</w:t>
      </w:r>
      <w:r w:rsidRPr="00861DFD">
        <w:rPr>
          <w:rFonts w:cs="Arial"/>
          <w:b/>
          <w:bCs/>
          <w:sz w:val="16"/>
          <w:szCs w:val="16"/>
          <w:lang w:eastAsia="es-ES"/>
        </w:rPr>
        <w:t xml:space="preserve">, </w:t>
      </w:r>
      <w:r>
        <w:rPr>
          <w:rFonts w:cs="Arial"/>
          <w:b/>
          <w:bCs/>
          <w:sz w:val="16"/>
          <w:szCs w:val="16"/>
          <w:lang w:eastAsia="es-ES"/>
        </w:rPr>
        <w:t xml:space="preserve">de acuerdo </w:t>
      </w:r>
      <w:r w:rsidR="00B012EF">
        <w:rPr>
          <w:rFonts w:cs="Arial"/>
          <w:b/>
          <w:bCs/>
          <w:sz w:val="16"/>
          <w:szCs w:val="16"/>
          <w:lang w:eastAsia="es-ES"/>
        </w:rPr>
        <w:t xml:space="preserve">con </w:t>
      </w:r>
      <w:r>
        <w:rPr>
          <w:rFonts w:cs="Arial"/>
          <w:b/>
          <w:bCs/>
          <w:sz w:val="16"/>
          <w:szCs w:val="16"/>
          <w:lang w:eastAsia="es-ES"/>
        </w:rPr>
        <w:t>los literales a, b, y c</w:t>
      </w:r>
      <w:r w:rsidR="00860861">
        <w:rPr>
          <w:rFonts w:cs="Arial"/>
          <w:b/>
          <w:bCs/>
          <w:sz w:val="16"/>
          <w:szCs w:val="16"/>
          <w:lang w:eastAsia="es-ES"/>
        </w:rPr>
        <w:t xml:space="preserve"> de la categoría de neteo 6</w:t>
      </w:r>
      <w:r>
        <w:rPr>
          <w:rFonts w:cs="Arial"/>
          <w:b/>
          <w:bCs/>
          <w:sz w:val="16"/>
          <w:szCs w:val="16"/>
          <w:lang w:eastAsia="es-ES"/>
        </w:rPr>
        <w:t xml:space="preserve">. </w:t>
      </w:r>
    </w:p>
    <w:p w14:paraId="2DD38A45" w14:textId="77777777" w:rsidR="00E120CE" w:rsidRDefault="00E120CE" w:rsidP="00B67EED">
      <w:pPr>
        <w:tabs>
          <w:tab w:val="left" w:pos="851"/>
          <w:tab w:val="left" w:pos="1701"/>
        </w:tabs>
        <w:ind w:left="567" w:hanging="567"/>
        <w:rPr>
          <w:rFonts w:cs="Arial"/>
          <w:b/>
          <w:bCs/>
          <w:sz w:val="16"/>
          <w:szCs w:val="16"/>
          <w:lang w:eastAsia="es-ES"/>
        </w:rPr>
      </w:pPr>
    </w:p>
    <w:p w14:paraId="72706DB6" w14:textId="5BB4F152" w:rsidR="00E120CE" w:rsidRPr="002D2275" w:rsidRDefault="00E120CE" w:rsidP="00854904">
      <w:pPr>
        <w:tabs>
          <w:tab w:val="left" w:pos="851"/>
          <w:tab w:val="left" w:pos="1701"/>
        </w:tabs>
        <w:rPr>
          <w:rFonts w:cs="Arial"/>
          <w:b/>
          <w:bCs/>
          <w:sz w:val="16"/>
          <w:szCs w:val="16"/>
          <w:lang w:eastAsia="es-ES"/>
        </w:rPr>
      </w:pPr>
      <w:r>
        <w:rPr>
          <w:rFonts w:cs="Arial"/>
          <w:b/>
          <w:bCs/>
          <w:sz w:val="16"/>
          <w:szCs w:val="16"/>
          <w:lang w:eastAsia="es-ES"/>
        </w:rPr>
        <w:t>X          =</w:t>
      </w:r>
      <w:r w:rsidR="00517259">
        <w:rPr>
          <w:rFonts w:cs="Arial"/>
          <w:b/>
          <w:bCs/>
          <w:sz w:val="16"/>
          <w:szCs w:val="16"/>
          <w:lang w:eastAsia="es-ES"/>
        </w:rPr>
        <w:t xml:space="preserve"> Bandas de neteo definidas en los literales a, b, y c de la categoría de neteo 6</w:t>
      </w:r>
      <w:r w:rsidR="009D05ED">
        <w:rPr>
          <w:rFonts w:cs="Arial"/>
          <w:b/>
          <w:bCs/>
          <w:sz w:val="16"/>
          <w:szCs w:val="16"/>
          <w:lang w:eastAsia="es-ES"/>
        </w:rPr>
        <w:t>.</w:t>
      </w:r>
    </w:p>
    <w:p w14:paraId="0A357A21" w14:textId="77777777" w:rsidR="0086734C" w:rsidRDefault="0086734C" w:rsidP="00B67EED">
      <w:pPr>
        <w:tabs>
          <w:tab w:val="left" w:pos="851"/>
          <w:tab w:val="left" w:pos="1701"/>
        </w:tabs>
        <w:ind w:left="567" w:hanging="567"/>
        <w:rPr>
          <w:rFonts w:cs="Arial"/>
          <w:sz w:val="16"/>
          <w:szCs w:val="16"/>
          <w:lang w:eastAsia="es-ES"/>
        </w:rPr>
      </w:pPr>
    </w:p>
    <w:p w14:paraId="14C047BD" w14:textId="53EB1B76" w:rsidR="00235842" w:rsidRPr="00AC7415" w:rsidRDefault="000C4C4D" w:rsidP="00B67EED">
      <w:pPr>
        <w:tabs>
          <w:tab w:val="left" w:pos="851"/>
          <w:tab w:val="left" w:pos="1701"/>
        </w:tabs>
        <w:ind w:left="567" w:hanging="567"/>
        <w:rPr>
          <w:rFonts w:cs="Arial"/>
          <w:b/>
          <w:sz w:val="16"/>
          <w:szCs w:val="16"/>
          <w:lang w:eastAsia="es-ES"/>
        </w:rPr>
      </w:pPr>
      <w:r w:rsidRPr="00AC7415">
        <w:rPr>
          <w:rFonts w:cs="Arial"/>
          <w:b/>
          <w:sz w:val="16"/>
          <w:szCs w:val="16"/>
          <w:lang w:eastAsia="es-ES"/>
        </w:rPr>
        <w:t xml:space="preserve">K </w:t>
      </w:r>
      <w:r w:rsidR="00235842" w:rsidRPr="00AC7415">
        <w:rPr>
          <w:rFonts w:cs="Arial"/>
          <w:b/>
          <w:sz w:val="16"/>
          <w:szCs w:val="16"/>
          <w:lang w:eastAsia="es-ES"/>
        </w:rPr>
        <w:t xml:space="preserve">     </w:t>
      </w:r>
      <w:r w:rsidR="004E2A52" w:rsidRPr="00AC7415">
        <w:rPr>
          <w:rFonts w:cs="Arial"/>
          <w:b/>
          <w:sz w:val="16"/>
          <w:szCs w:val="16"/>
          <w:lang w:eastAsia="es-ES"/>
        </w:rPr>
        <w:t xml:space="preserve"> </w:t>
      </w:r>
      <w:r w:rsidR="00235842" w:rsidRPr="00AC7415">
        <w:rPr>
          <w:rFonts w:cs="Arial"/>
          <w:b/>
          <w:sz w:val="16"/>
          <w:szCs w:val="16"/>
          <w:lang w:eastAsia="es-ES"/>
        </w:rPr>
        <w:t xml:space="preserve"> </w:t>
      </w:r>
      <w:r w:rsidRPr="00AC7415">
        <w:rPr>
          <w:rFonts w:cs="Arial"/>
          <w:b/>
          <w:sz w:val="16"/>
          <w:szCs w:val="16"/>
          <w:lang w:eastAsia="es-ES"/>
        </w:rPr>
        <w:t>= Número</w:t>
      </w:r>
      <w:r w:rsidR="0087039D" w:rsidRPr="00AC7415">
        <w:rPr>
          <w:rFonts w:cs="Arial"/>
          <w:b/>
          <w:sz w:val="16"/>
          <w:szCs w:val="16"/>
          <w:lang w:eastAsia="es-ES"/>
        </w:rPr>
        <w:t xml:space="preserve"> total</w:t>
      </w:r>
      <w:r w:rsidRPr="00AC7415">
        <w:rPr>
          <w:rFonts w:cs="Arial"/>
          <w:b/>
          <w:sz w:val="16"/>
          <w:szCs w:val="16"/>
          <w:lang w:eastAsia="es-ES"/>
        </w:rPr>
        <w:t xml:space="preserve"> de </w:t>
      </w:r>
      <w:r w:rsidR="00244ED5">
        <w:rPr>
          <w:rFonts w:cs="Arial"/>
          <w:b/>
          <w:sz w:val="16"/>
          <w:szCs w:val="16"/>
          <w:lang w:eastAsia="es-ES"/>
        </w:rPr>
        <w:t>categorías de neteo</w:t>
      </w:r>
      <w:r w:rsidR="008273EE" w:rsidRPr="00AC7415">
        <w:rPr>
          <w:rFonts w:cs="Arial"/>
          <w:b/>
          <w:sz w:val="16"/>
          <w:szCs w:val="16"/>
          <w:lang w:eastAsia="es-ES"/>
        </w:rPr>
        <w:t xml:space="preserve"> o </w:t>
      </w:r>
      <w:r w:rsidR="00244ED5">
        <w:rPr>
          <w:rFonts w:cs="Arial"/>
          <w:b/>
          <w:sz w:val="16"/>
          <w:szCs w:val="16"/>
          <w:lang w:eastAsia="es-ES"/>
        </w:rPr>
        <w:t>categorías</w:t>
      </w:r>
      <w:r w:rsidR="00244ED5" w:rsidRPr="00AC7415">
        <w:rPr>
          <w:rFonts w:cs="Arial"/>
          <w:b/>
          <w:sz w:val="16"/>
          <w:szCs w:val="16"/>
          <w:lang w:eastAsia="es-ES"/>
        </w:rPr>
        <w:t xml:space="preserve"> </w:t>
      </w:r>
      <w:r w:rsidR="00004D1E" w:rsidRPr="00AC7415">
        <w:rPr>
          <w:rFonts w:cs="Arial"/>
          <w:b/>
          <w:sz w:val="16"/>
          <w:szCs w:val="16"/>
          <w:lang w:eastAsia="es-ES"/>
        </w:rPr>
        <w:t>de subyacentes</w:t>
      </w:r>
      <w:r w:rsidR="008273EE" w:rsidRPr="00AC7415">
        <w:rPr>
          <w:rFonts w:cs="Arial"/>
          <w:b/>
          <w:sz w:val="16"/>
          <w:szCs w:val="16"/>
          <w:lang w:eastAsia="es-ES"/>
        </w:rPr>
        <w:t xml:space="preserve"> según la aplicabilidad del </w:t>
      </w:r>
      <w:r w:rsidR="00AC7415" w:rsidRPr="00AC7415">
        <w:rPr>
          <w:rFonts w:cs="Arial"/>
          <w:b/>
          <w:sz w:val="16"/>
          <w:szCs w:val="16"/>
          <w:lang w:eastAsia="es-ES"/>
        </w:rPr>
        <w:t>sub</w:t>
      </w:r>
      <w:r w:rsidR="008273EE" w:rsidRPr="00AC7415">
        <w:rPr>
          <w:rFonts w:cs="Arial"/>
          <w:b/>
          <w:sz w:val="16"/>
          <w:szCs w:val="16"/>
          <w:lang w:eastAsia="es-ES"/>
        </w:rPr>
        <w:t>numeral 1.4.1.</w:t>
      </w:r>
      <w:r w:rsidR="00D15861">
        <w:rPr>
          <w:rFonts w:cs="Arial"/>
          <w:b/>
          <w:sz w:val="16"/>
          <w:szCs w:val="16"/>
          <w:lang w:eastAsia="es-ES"/>
        </w:rPr>
        <w:t>1</w:t>
      </w:r>
      <w:r w:rsidR="00AC7415" w:rsidRPr="00AC7415">
        <w:rPr>
          <w:rFonts w:cs="Arial"/>
          <w:b/>
          <w:sz w:val="16"/>
          <w:szCs w:val="16"/>
          <w:lang w:eastAsia="es-ES"/>
        </w:rPr>
        <w:t>. del presente anexo</w:t>
      </w:r>
      <w:r w:rsidRPr="00AC7415">
        <w:rPr>
          <w:rFonts w:cs="Arial"/>
          <w:b/>
          <w:sz w:val="16"/>
          <w:szCs w:val="16"/>
          <w:lang w:eastAsia="es-ES"/>
        </w:rPr>
        <w:t xml:space="preserve"> para los que la entidad tiene contratos vigentes con la contraparte.</w:t>
      </w:r>
    </w:p>
    <w:p w14:paraId="1EEF9A20" w14:textId="1BB117A0" w:rsidR="009F30D1" w:rsidRDefault="009F30D1" w:rsidP="00B67EED">
      <w:pPr>
        <w:tabs>
          <w:tab w:val="left" w:pos="851"/>
          <w:tab w:val="left" w:pos="1701"/>
        </w:tabs>
        <w:rPr>
          <w:rFonts w:cs="Arial"/>
          <w:sz w:val="16"/>
          <w:szCs w:val="16"/>
          <w:lang w:eastAsia="es-ES"/>
        </w:rPr>
      </w:pPr>
    </w:p>
    <w:p w14:paraId="0E2325F2" w14:textId="3B315652" w:rsidR="00AD41C7" w:rsidRPr="002D2275" w:rsidRDefault="009F30D1" w:rsidP="00B67EED">
      <w:pPr>
        <w:tabs>
          <w:tab w:val="left" w:pos="851"/>
          <w:tab w:val="left" w:pos="1701"/>
        </w:tabs>
        <w:ind w:left="567" w:hanging="567"/>
        <w:rPr>
          <w:rFonts w:cs="Arial"/>
          <w:b/>
          <w:sz w:val="16"/>
          <w:szCs w:val="16"/>
          <w:lang w:eastAsia="es-ES"/>
        </w:rPr>
      </w:pPr>
      <w:proofErr w:type="spellStart"/>
      <w:r w:rsidRPr="0050747A">
        <w:rPr>
          <w:rFonts w:cs="Arial"/>
          <w:b/>
          <w:sz w:val="16"/>
          <w:szCs w:val="16"/>
          <w:lang w:eastAsia="es-ES"/>
        </w:rPr>
        <w:t>VN</w:t>
      </w:r>
      <w:r w:rsidR="00957791" w:rsidRPr="0050747A">
        <w:rPr>
          <w:rFonts w:cs="Arial"/>
          <w:b/>
          <w:sz w:val="16"/>
          <w:szCs w:val="16"/>
          <w:lang w:eastAsia="es-ES"/>
        </w:rPr>
        <w:t>E</w:t>
      </w:r>
      <w:r w:rsidRPr="0050747A">
        <w:rPr>
          <w:rFonts w:cs="Arial"/>
          <w:b/>
          <w:sz w:val="16"/>
          <w:szCs w:val="16"/>
          <w:vertAlign w:val="subscript"/>
          <w:lang w:eastAsia="es-ES"/>
        </w:rPr>
        <w:t>i</w:t>
      </w:r>
      <w:proofErr w:type="spellEnd"/>
      <w:r w:rsidRPr="0050747A">
        <w:rPr>
          <w:rFonts w:cs="Arial"/>
          <w:b/>
          <w:sz w:val="16"/>
          <w:szCs w:val="16"/>
          <w:vertAlign w:val="subscript"/>
          <w:lang w:eastAsia="es-ES"/>
        </w:rPr>
        <w:t xml:space="preserve">    </w:t>
      </w:r>
      <w:r w:rsidRPr="0050747A">
        <w:rPr>
          <w:rFonts w:cs="Arial"/>
          <w:b/>
          <w:sz w:val="16"/>
          <w:szCs w:val="16"/>
          <w:lang w:eastAsia="es-ES"/>
        </w:rPr>
        <w:t xml:space="preserve">= </w:t>
      </w:r>
      <w:r w:rsidRPr="0050747A">
        <w:rPr>
          <w:rFonts w:cs="Arial"/>
          <w:b/>
          <w:sz w:val="16"/>
          <w:szCs w:val="16"/>
          <w:lang w:val="es-ES"/>
        </w:rPr>
        <w:t>Valor</w:t>
      </w:r>
      <w:r w:rsidRPr="0050747A">
        <w:rPr>
          <w:rFonts w:cs="Arial"/>
          <w:b/>
          <w:sz w:val="16"/>
          <w:szCs w:val="16"/>
          <w:lang w:eastAsia="es-ES"/>
        </w:rPr>
        <w:t xml:space="preserve"> </w:t>
      </w:r>
      <w:r w:rsidR="00957791" w:rsidRPr="0050747A">
        <w:rPr>
          <w:rFonts w:cs="Arial"/>
          <w:b/>
          <w:sz w:val="16"/>
          <w:szCs w:val="16"/>
          <w:lang w:eastAsia="es-ES"/>
        </w:rPr>
        <w:t>N</w:t>
      </w:r>
      <w:r w:rsidRPr="0050747A">
        <w:rPr>
          <w:rFonts w:cs="Arial"/>
          <w:b/>
          <w:sz w:val="16"/>
          <w:szCs w:val="16"/>
          <w:lang w:eastAsia="es-ES"/>
        </w:rPr>
        <w:t>ominal</w:t>
      </w:r>
      <w:r w:rsidR="00957791" w:rsidRPr="0050747A">
        <w:rPr>
          <w:rFonts w:cs="Arial"/>
          <w:b/>
          <w:sz w:val="16"/>
          <w:szCs w:val="16"/>
          <w:lang w:eastAsia="es-ES"/>
        </w:rPr>
        <w:t xml:space="preserve"> Efectivo</w:t>
      </w:r>
      <w:r w:rsidRPr="0050747A">
        <w:rPr>
          <w:rFonts w:cs="Arial"/>
          <w:b/>
          <w:sz w:val="16"/>
          <w:szCs w:val="16"/>
          <w:lang w:eastAsia="es-ES"/>
        </w:rPr>
        <w:t xml:space="preserve"> de la </w:t>
      </w:r>
      <w:r w:rsidRPr="0050747A">
        <w:rPr>
          <w:rFonts w:cs="Arial"/>
          <w:b/>
          <w:sz w:val="16"/>
          <w:szCs w:val="16"/>
          <w:lang w:val="es-ES"/>
        </w:rPr>
        <w:t>i-</w:t>
      </w:r>
      <w:proofErr w:type="spellStart"/>
      <w:r w:rsidRPr="0050747A">
        <w:rPr>
          <w:rFonts w:cs="Arial"/>
          <w:b/>
          <w:sz w:val="16"/>
          <w:szCs w:val="16"/>
          <w:lang w:val="es-ES"/>
        </w:rPr>
        <w:t>ésima</w:t>
      </w:r>
      <w:proofErr w:type="spellEnd"/>
      <w:r w:rsidRPr="0050747A">
        <w:rPr>
          <w:rFonts w:cs="Arial"/>
          <w:b/>
          <w:sz w:val="16"/>
          <w:szCs w:val="16"/>
          <w:lang w:val="es-ES"/>
        </w:rPr>
        <w:t xml:space="preserve"> operación</w:t>
      </w:r>
      <w:r w:rsidR="00957791" w:rsidRPr="0050747A">
        <w:rPr>
          <w:rFonts w:cs="Arial"/>
          <w:b/>
          <w:sz w:val="16"/>
          <w:szCs w:val="16"/>
          <w:lang w:val="es-ES"/>
        </w:rPr>
        <w:t xml:space="preserve">, </w:t>
      </w:r>
      <w:r w:rsidR="00EC2EBA" w:rsidRPr="0050747A">
        <w:rPr>
          <w:rFonts w:cs="Arial"/>
          <w:b/>
          <w:sz w:val="16"/>
          <w:szCs w:val="16"/>
          <w:lang w:val="es-ES"/>
        </w:rPr>
        <w:t>perteneciente a la misma categoría de neteo j</w:t>
      </w:r>
      <w:r w:rsidR="00957791" w:rsidRPr="0050747A">
        <w:rPr>
          <w:rFonts w:cs="Arial"/>
          <w:b/>
          <w:sz w:val="16"/>
          <w:szCs w:val="16"/>
          <w:lang w:val="es-ES"/>
        </w:rPr>
        <w:t>, celebrad</w:t>
      </w:r>
      <w:r w:rsidR="00EC2EBA" w:rsidRPr="0050747A">
        <w:rPr>
          <w:rFonts w:cs="Arial"/>
          <w:b/>
          <w:sz w:val="16"/>
          <w:szCs w:val="16"/>
          <w:lang w:val="es-ES"/>
        </w:rPr>
        <w:t>a</w:t>
      </w:r>
      <w:r w:rsidR="00957791" w:rsidRPr="0050747A">
        <w:rPr>
          <w:rFonts w:cs="Arial"/>
          <w:b/>
          <w:sz w:val="16"/>
          <w:szCs w:val="16"/>
          <w:lang w:val="es-ES"/>
        </w:rPr>
        <w:t xml:space="preserve"> con la contraparte</w:t>
      </w:r>
      <w:r w:rsidR="00EC2EBA" w:rsidRPr="0050747A">
        <w:rPr>
          <w:rFonts w:cs="Arial"/>
          <w:b/>
          <w:sz w:val="16"/>
          <w:szCs w:val="16"/>
          <w:lang w:val="es-ES"/>
        </w:rPr>
        <w:t>, c</w:t>
      </w:r>
      <w:proofErr w:type="spellStart"/>
      <w:r w:rsidR="00EC2EBA" w:rsidRPr="0050747A">
        <w:rPr>
          <w:rFonts w:cs="Arial"/>
          <w:b/>
          <w:sz w:val="16"/>
          <w:szCs w:val="16"/>
          <w:lang w:eastAsia="es-ES"/>
        </w:rPr>
        <w:t>alculado</w:t>
      </w:r>
      <w:proofErr w:type="spellEnd"/>
      <w:r w:rsidR="00EC2EBA" w:rsidRPr="0050747A">
        <w:rPr>
          <w:rFonts w:cs="Arial"/>
          <w:b/>
          <w:sz w:val="16"/>
          <w:szCs w:val="16"/>
          <w:lang w:eastAsia="es-ES"/>
        </w:rPr>
        <w:t xml:space="preserve"> según se establece en el numeral 1.</w:t>
      </w:r>
      <w:r w:rsidR="00D532CC" w:rsidRPr="0050747A">
        <w:rPr>
          <w:rFonts w:cs="Arial"/>
          <w:b/>
          <w:sz w:val="16"/>
          <w:szCs w:val="16"/>
          <w:lang w:eastAsia="es-ES"/>
        </w:rPr>
        <w:t>7</w:t>
      </w:r>
      <w:r w:rsidR="00EC2EBA" w:rsidRPr="0050747A">
        <w:rPr>
          <w:rFonts w:cs="Arial"/>
          <w:b/>
          <w:sz w:val="16"/>
          <w:szCs w:val="16"/>
          <w:lang w:eastAsia="es-ES"/>
        </w:rPr>
        <w:t xml:space="preserve"> del presente Anexo.</w:t>
      </w:r>
      <w:r w:rsidR="00860861">
        <w:rPr>
          <w:rFonts w:cs="Arial"/>
          <w:b/>
          <w:sz w:val="16"/>
          <w:szCs w:val="16"/>
          <w:lang w:eastAsia="es-ES"/>
        </w:rPr>
        <w:t xml:space="preserve"> </w:t>
      </w:r>
    </w:p>
    <w:p w14:paraId="1F98F2CA" w14:textId="77777777" w:rsidR="009F30D1" w:rsidRDefault="009F30D1" w:rsidP="00B67EED">
      <w:pPr>
        <w:tabs>
          <w:tab w:val="left" w:pos="851"/>
          <w:tab w:val="left" w:pos="1701"/>
        </w:tabs>
        <w:ind w:left="567" w:hanging="567"/>
        <w:rPr>
          <w:rFonts w:cs="Arial"/>
          <w:sz w:val="16"/>
          <w:szCs w:val="16"/>
          <w:lang w:eastAsia="es-ES"/>
        </w:rPr>
      </w:pPr>
    </w:p>
    <w:p w14:paraId="104F17B0" w14:textId="2C1257FB" w:rsidR="009F30D1" w:rsidRPr="003A3AD1" w:rsidRDefault="009F30D1" w:rsidP="00B67EED">
      <w:pPr>
        <w:tabs>
          <w:tab w:val="left" w:pos="851"/>
          <w:tab w:val="left" w:pos="1701"/>
        </w:tabs>
        <w:ind w:left="567" w:hanging="567"/>
        <w:rPr>
          <w:rFonts w:cs="Arial"/>
          <w:bCs/>
          <w:sz w:val="16"/>
          <w:szCs w:val="16"/>
          <w:lang w:eastAsia="es-ES"/>
        </w:rPr>
      </w:pPr>
      <w:proofErr w:type="spellStart"/>
      <w:r w:rsidRPr="00C95C88">
        <w:rPr>
          <w:rFonts w:cs="Arial"/>
          <w:bCs/>
          <w:sz w:val="16"/>
          <w:szCs w:val="16"/>
          <w:lang w:eastAsia="es-ES"/>
        </w:rPr>
        <w:t>FC</w:t>
      </w:r>
      <w:r w:rsidR="0008576C" w:rsidRPr="00C95C88">
        <w:rPr>
          <w:rFonts w:cs="Arial"/>
          <w:bCs/>
          <w:sz w:val="16"/>
          <w:szCs w:val="16"/>
          <w:vertAlign w:val="subscript"/>
          <w:lang w:eastAsia="es-ES"/>
        </w:rPr>
        <w:t>i</w:t>
      </w:r>
      <w:proofErr w:type="spellEnd"/>
      <w:r w:rsidRPr="00C95C88">
        <w:rPr>
          <w:rFonts w:cs="Arial"/>
          <w:bCs/>
          <w:sz w:val="16"/>
          <w:szCs w:val="16"/>
          <w:vertAlign w:val="subscript"/>
          <w:lang w:eastAsia="es-ES"/>
        </w:rPr>
        <w:t xml:space="preserve">   </w:t>
      </w:r>
      <w:r w:rsidRPr="00C95C88">
        <w:rPr>
          <w:rFonts w:cs="Arial"/>
          <w:bCs/>
          <w:sz w:val="16"/>
          <w:szCs w:val="16"/>
          <w:lang w:eastAsia="es-ES"/>
        </w:rPr>
        <w:t xml:space="preserve">  = </w:t>
      </w:r>
      <w:r w:rsidRPr="00C95C88">
        <w:rPr>
          <w:rFonts w:cs="Arial"/>
          <w:bCs/>
          <w:sz w:val="16"/>
          <w:szCs w:val="16"/>
          <w:lang w:val="es-ES"/>
        </w:rPr>
        <w:t>F</w:t>
      </w:r>
      <w:r w:rsidRPr="00C95C88">
        <w:rPr>
          <w:rFonts w:cs="Arial"/>
          <w:bCs/>
          <w:sz w:val="16"/>
          <w:szCs w:val="16"/>
          <w:lang w:eastAsia="es-ES"/>
        </w:rPr>
        <w:t>actor de Crédito de</w:t>
      </w:r>
      <w:r w:rsidR="00E012C6" w:rsidRPr="00C95C88">
        <w:rPr>
          <w:rFonts w:cs="Arial"/>
          <w:bCs/>
          <w:sz w:val="16"/>
          <w:szCs w:val="16"/>
          <w:lang w:eastAsia="es-ES"/>
        </w:rPr>
        <w:t xml:space="preserve"> </w:t>
      </w:r>
      <w:r w:rsidR="00B940A2" w:rsidRPr="00C95C88">
        <w:rPr>
          <w:rFonts w:cs="Arial"/>
          <w:bCs/>
          <w:sz w:val="16"/>
          <w:szCs w:val="16"/>
          <w:lang w:eastAsia="es-ES"/>
        </w:rPr>
        <w:t>la</w:t>
      </w:r>
      <w:r w:rsidRPr="00C95C88">
        <w:rPr>
          <w:rFonts w:cs="Arial"/>
          <w:bCs/>
          <w:sz w:val="16"/>
          <w:szCs w:val="16"/>
          <w:lang w:eastAsia="es-ES"/>
        </w:rPr>
        <w:t xml:space="preserve"> </w:t>
      </w:r>
      <w:r w:rsidR="00957791" w:rsidRPr="00C95C88">
        <w:rPr>
          <w:rFonts w:cs="Arial"/>
          <w:bCs/>
          <w:sz w:val="16"/>
          <w:szCs w:val="16"/>
          <w:lang w:val="es-ES"/>
        </w:rPr>
        <w:t>i</w:t>
      </w:r>
      <w:r w:rsidRPr="00C95C88">
        <w:rPr>
          <w:rFonts w:cs="Arial"/>
          <w:bCs/>
          <w:sz w:val="16"/>
          <w:szCs w:val="16"/>
          <w:lang w:val="es-ES"/>
        </w:rPr>
        <w:t>-</w:t>
      </w:r>
      <w:proofErr w:type="spellStart"/>
      <w:r w:rsidRPr="00C95C88">
        <w:rPr>
          <w:rFonts w:cs="Arial"/>
          <w:bCs/>
          <w:sz w:val="16"/>
          <w:szCs w:val="16"/>
          <w:lang w:val="es-ES"/>
        </w:rPr>
        <w:t>ésim</w:t>
      </w:r>
      <w:r w:rsidR="00E012C6" w:rsidRPr="00C95C88">
        <w:rPr>
          <w:rFonts w:cs="Arial"/>
          <w:bCs/>
          <w:sz w:val="16"/>
          <w:szCs w:val="16"/>
          <w:lang w:val="es-ES"/>
        </w:rPr>
        <w:t>a</w:t>
      </w:r>
      <w:proofErr w:type="spellEnd"/>
      <w:r w:rsidRPr="00C95C88">
        <w:rPr>
          <w:rFonts w:cs="Arial"/>
          <w:bCs/>
          <w:sz w:val="16"/>
          <w:szCs w:val="16"/>
          <w:lang w:val="es-ES"/>
        </w:rPr>
        <w:t xml:space="preserve"> </w:t>
      </w:r>
      <w:r w:rsidR="00E012C6" w:rsidRPr="00C95C88">
        <w:rPr>
          <w:rFonts w:cs="Arial"/>
          <w:bCs/>
          <w:sz w:val="16"/>
          <w:szCs w:val="16"/>
          <w:lang w:val="es-ES"/>
        </w:rPr>
        <w:t xml:space="preserve">operación </w:t>
      </w:r>
      <w:r w:rsidRPr="00C95C88">
        <w:rPr>
          <w:rFonts w:cs="Arial"/>
          <w:bCs/>
          <w:sz w:val="16"/>
          <w:szCs w:val="16"/>
          <w:lang w:val="es-ES"/>
        </w:rPr>
        <w:t>del portafolio de instrumentos financieros derivados</w:t>
      </w:r>
      <w:r w:rsidR="00762214" w:rsidRPr="00383B43">
        <w:rPr>
          <w:rFonts w:cs="Arial"/>
          <w:b/>
          <w:sz w:val="16"/>
          <w:szCs w:val="16"/>
          <w:lang w:val="es-ES"/>
        </w:rPr>
        <w:t>,</w:t>
      </w:r>
      <w:r w:rsidR="00762214">
        <w:rPr>
          <w:rFonts w:cs="Arial"/>
          <w:bCs/>
          <w:sz w:val="16"/>
          <w:szCs w:val="16"/>
          <w:lang w:val="es-ES"/>
        </w:rPr>
        <w:t xml:space="preserve"> </w:t>
      </w:r>
      <w:r w:rsidR="00762214" w:rsidRPr="00383B43">
        <w:rPr>
          <w:rFonts w:cs="Arial"/>
          <w:b/>
          <w:sz w:val="16"/>
          <w:szCs w:val="16"/>
          <w:lang w:val="es-ES"/>
        </w:rPr>
        <w:t>perteneciente a la misma categoría de neteo</w:t>
      </w:r>
      <w:r w:rsidR="007C37EE" w:rsidRPr="00383B43">
        <w:rPr>
          <w:rFonts w:cs="Arial"/>
          <w:b/>
          <w:sz w:val="16"/>
          <w:szCs w:val="16"/>
          <w:lang w:val="es-ES"/>
        </w:rPr>
        <w:t xml:space="preserve"> </w:t>
      </w:r>
      <w:r w:rsidR="00AD41C7">
        <w:rPr>
          <w:rFonts w:cs="Arial"/>
          <w:b/>
          <w:sz w:val="16"/>
          <w:szCs w:val="16"/>
          <w:lang w:val="es-ES"/>
        </w:rPr>
        <w:t>j</w:t>
      </w:r>
      <w:r w:rsidR="007C37EE" w:rsidRPr="00383B43">
        <w:rPr>
          <w:rFonts w:cs="Arial"/>
          <w:b/>
          <w:sz w:val="16"/>
          <w:szCs w:val="16"/>
          <w:lang w:val="es-ES"/>
        </w:rPr>
        <w:t>,</w:t>
      </w:r>
      <w:r w:rsidR="007C37EE">
        <w:rPr>
          <w:rFonts w:cs="Arial"/>
          <w:bCs/>
          <w:sz w:val="16"/>
          <w:szCs w:val="16"/>
          <w:lang w:val="es-ES"/>
        </w:rPr>
        <w:t xml:space="preserve"> </w:t>
      </w:r>
      <w:r w:rsidRPr="00C95C88">
        <w:rPr>
          <w:rFonts w:cs="Arial"/>
          <w:bCs/>
          <w:sz w:val="16"/>
          <w:szCs w:val="16"/>
          <w:lang w:val="es-ES"/>
        </w:rPr>
        <w:t>celebrada con la contraparte</w:t>
      </w:r>
      <w:r w:rsidR="00CA2B11" w:rsidRPr="00C95C88">
        <w:rPr>
          <w:rFonts w:cs="Arial"/>
          <w:bCs/>
          <w:sz w:val="16"/>
          <w:szCs w:val="16"/>
          <w:lang w:val="es-ES"/>
        </w:rPr>
        <w:t xml:space="preserve">. </w:t>
      </w:r>
      <w:r w:rsidRPr="00C95C88">
        <w:rPr>
          <w:rFonts w:cs="Arial"/>
          <w:bCs/>
          <w:sz w:val="16"/>
          <w:szCs w:val="16"/>
          <w:lang w:val="es-ES"/>
        </w:rPr>
        <w:t xml:space="preserve">Su </w:t>
      </w:r>
      <w:r w:rsidRPr="00C95C88">
        <w:rPr>
          <w:rFonts w:cs="Arial"/>
          <w:bCs/>
          <w:sz w:val="16"/>
          <w:szCs w:val="16"/>
          <w:lang w:eastAsia="es-ES"/>
        </w:rPr>
        <w:t>forma de cálculo se establece en el numeral 1.4 del presente Anexo.</w:t>
      </w:r>
    </w:p>
    <w:p w14:paraId="454C7EE6" w14:textId="77777777" w:rsidR="009F30D1" w:rsidRDefault="009F30D1" w:rsidP="009F30D1">
      <w:pPr>
        <w:jc w:val="left"/>
        <w:rPr>
          <w:rFonts w:cs="Arial"/>
          <w:b/>
          <w:sz w:val="16"/>
          <w:szCs w:val="16"/>
          <w:lang w:eastAsia="es-ES"/>
        </w:rPr>
      </w:pPr>
    </w:p>
    <w:p w14:paraId="22AD0DBB" w14:textId="77777777" w:rsidR="009F30D1" w:rsidRPr="00423FF9" w:rsidRDefault="009F30D1" w:rsidP="000C5A93">
      <w:pPr>
        <w:jc w:val="left"/>
        <w:rPr>
          <w:rFonts w:cs="Arial"/>
          <w:bCs/>
          <w:sz w:val="16"/>
          <w:szCs w:val="16"/>
          <w:lang w:eastAsia="es-ES"/>
        </w:rPr>
      </w:pPr>
      <w:r w:rsidRPr="00423FF9">
        <w:rPr>
          <w:rFonts w:cs="Arial"/>
          <w:bCs/>
          <w:sz w:val="16"/>
          <w:szCs w:val="16"/>
          <w:lang w:eastAsia="es-ES"/>
        </w:rPr>
        <w:t>MG = Multiplicador por Garantías. Se define como:</w:t>
      </w:r>
    </w:p>
    <w:p w14:paraId="63F4800B" w14:textId="77777777" w:rsidR="009F30D1" w:rsidRPr="00423FF9" w:rsidRDefault="009F30D1" w:rsidP="000C5A93">
      <w:pPr>
        <w:jc w:val="left"/>
        <w:rPr>
          <w:rFonts w:cs="Arial"/>
          <w:bCs/>
          <w:sz w:val="16"/>
          <w:szCs w:val="16"/>
          <w:lang w:eastAsia="es-ES"/>
        </w:rPr>
      </w:pPr>
    </w:p>
    <w:p w14:paraId="614FB9A7" w14:textId="4A92149C" w:rsidR="00FB2E06" w:rsidRDefault="009F30D1" w:rsidP="66B220A0">
      <w:pPr>
        <w:tabs>
          <w:tab w:val="left" w:pos="851"/>
          <w:tab w:val="left" w:pos="1701"/>
        </w:tabs>
        <w:jc w:val="center"/>
        <w:rPr>
          <w:rFonts w:cs="Arial"/>
          <w:sz w:val="18"/>
          <w:szCs w:val="18"/>
          <w:lang w:val="pt-BR" w:eastAsia="es-ES"/>
        </w:rPr>
        <w:sectPr w:rsidR="00FB2E06" w:rsidSect="007479EE">
          <w:headerReference w:type="default" r:id="rId17"/>
          <w:pgSz w:w="12242" w:h="18711" w:code="166"/>
          <w:pgMar w:top="1701" w:right="1701" w:bottom="1701" w:left="1701" w:header="680" w:footer="1076" w:gutter="0"/>
          <w:paperSrc w:first="3" w:other="3"/>
          <w:pgNumType w:start="20"/>
          <w:cols w:space="720"/>
          <w:noEndnote/>
          <w:docGrid w:linePitch="326"/>
        </w:sectPr>
      </w:pPr>
      <w:r w:rsidRPr="66B220A0">
        <w:rPr>
          <w:rFonts w:cs="Arial"/>
          <w:sz w:val="18"/>
          <w:szCs w:val="18"/>
          <w:lang w:val="pt-BR" w:eastAsia="es-ES"/>
        </w:rPr>
        <w:t xml:space="preserve">MG= min {1, 0.05 + 0.95 * </w:t>
      </w:r>
      <w:proofErr w:type="spellStart"/>
      <w:r w:rsidRPr="66B220A0">
        <w:rPr>
          <w:rFonts w:cs="Arial"/>
          <w:sz w:val="18"/>
          <w:szCs w:val="18"/>
          <w:lang w:val="pt-BR" w:eastAsia="es-ES"/>
        </w:rPr>
        <w:t>exp</w:t>
      </w:r>
      <w:proofErr w:type="spellEnd"/>
      <w:r w:rsidRPr="66B220A0">
        <w:rPr>
          <w:rFonts w:cs="Arial"/>
          <w:sz w:val="18"/>
          <w:szCs w:val="18"/>
          <w:lang w:val="pt-BR" w:eastAsia="es-ES"/>
        </w:rPr>
        <w:t xml:space="preserve"> </w:t>
      </w:r>
      <w:proofErr w:type="gramStart"/>
      <w:r w:rsidRPr="66B220A0">
        <w:rPr>
          <w:rFonts w:cs="Arial"/>
          <w:sz w:val="18"/>
          <w:szCs w:val="18"/>
          <w:lang w:val="pt-BR" w:eastAsia="es-ES"/>
        </w:rPr>
        <w:t>[ (</w:t>
      </w:r>
      <w:proofErr w:type="gramEnd"/>
      <w:r w:rsidRPr="00423FF9">
        <w:rPr>
          <w:rFonts w:cs="Arial"/>
          <w:bCs/>
          <w:position w:val="-28"/>
          <w:sz w:val="16"/>
          <w:szCs w:val="16"/>
        </w:rPr>
        <w:object w:dxaOrig="300" w:dyaOrig="645" w14:anchorId="5DAAB8C4">
          <v:shape id="_x0000_i1027" type="#_x0000_t75" style="width:15pt;height:33.4pt" o:ole="">
            <v:imagedata r:id="rId13" o:title=""/>
          </v:shape>
          <o:OLEObject Type="Embed" ProgID="Equation.3" ShapeID="_x0000_i1027" DrawAspect="Content" ObjectID="_1740410344" r:id="rId18"/>
        </w:object>
      </w:r>
      <w:proofErr w:type="spellStart"/>
      <w:r w:rsidRPr="66B220A0">
        <w:rPr>
          <w:rFonts w:cs="Arial"/>
          <w:sz w:val="16"/>
          <w:szCs w:val="16"/>
          <w:lang w:val="pt-BR" w:eastAsia="es-ES"/>
        </w:rPr>
        <w:t>VR</w:t>
      </w:r>
      <w:r w:rsidRPr="66B220A0">
        <w:rPr>
          <w:rFonts w:cs="Arial"/>
          <w:sz w:val="16"/>
          <w:szCs w:val="16"/>
          <w:vertAlign w:val="subscript"/>
          <w:lang w:val="pt-BR" w:eastAsia="es-ES"/>
        </w:rPr>
        <w:t>i</w:t>
      </w:r>
      <w:proofErr w:type="spellEnd"/>
      <w:r w:rsidRPr="66B220A0">
        <w:rPr>
          <w:rFonts w:cs="Arial"/>
          <w:sz w:val="18"/>
          <w:szCs w:val="18"/>
          <w:lang w:val="pt-BR" w:eastAsia="es-ES"/>
        </w:rPr>
        <w:t xml:space="preserve"> – C) / (1.9 * </w:t>
      </w:r>
      <w:proofErr w:type="spellStart"/>
      <w:r w:rsidRPr="66B220A0">
        <w:rPr>
          <w:rFonts w:cs="Arial"/>
          <w:sz w:val="18"/>
          <w:szCs w:val="18"/>
          <w:lang w:val="pt-BR" w:eastAsia="es-ES"/>
        </w:rPr>
        <w:t>EPF</w:t>
      </w:r>
      <w:r w:rsidRPr="66B220A0">
        <w:rPr>
          <w:rFonts w:cs="Arial"/>
          <w:sz w:val="18"/>
          <w:szCs w:val="18"/>
          <w:vertAlign w:val="subscript"/>
          <w:lang w:val="pt-BR" w:eastAsia="es-ES"/>
        </w:rPr>
        <w:t>p</w:t>
      </w:r>
      <w:proofErr w:type="spellEnd"/>
      <w:r w:rsidRPr="66B220A0">
        <w:rPr>
          <w:rFonts w:cs="Arial"/>
          <w:sz w:val="18"/>
          <w:szCs w:val="18"/>
          <w:vertAlign w:val="subscript"/>
          <w:lang w:val="pt-BR" w:eastAsia="es-ES"/>
        </w:rPr>
        <w:t xml:space="preserve"> </w:t>
      </w:r>
      <w:r w:rsidRPr="66B220A0">
        <w:rPr>
          <w:rFonts w:cs="Arial"/>
          <w:sz w:val="18"/>
          <w:szCs w:val="18"/>
          <w:lang w:val="pt-BR" w:eastAsia="es-ES"/>
        </w:rPr>
        <w:t>) ] } , donde</w:t>
      </w:r>
    </w:p>
    <w:p w14:paraId="5421848E" w14:textId="77777777" w:rsidR="009F30D1" w:rsidRPr="00423FF9" w:rsidRDefault="009F30D1" w:rsidP="66B220A0">
      <w:pPr>
        <w:tabs>
          <w:tab w:val="left" w:pos="851"/>
          <w:tab w:val="left" w:pos="1701"/>
        </w:tabs>
        <w:ind w:left="1134" w:hanging="1134"/>
        <w:rPr>
          <w:rFonts w:cs="Arial"/>
          <w:sz w:val="16"/>
          <w:szCs w:val="16"/>
          <w:lang w:eastAsia="es-ES"/>
        </w:rPr>
      </w:pPr>
      <w:r w:rsidRPr="00423FF9">
        <w:rPr>
          <w:rFonts w:cs="Arial"/>
          <w:bCs/>
          <w:position w:val="-28"/>
          <w:sz w:val="16"/>
          <w:szCs w:val="16"/>
        </w:rPr>
        <w:object w:dxaOrig="300" w:dyaOrig="645" w14:anchorId="797F19A8">
          <v:shape id="_x0000_i1028" type="#_x0000_t75" style="width:15pt;height:33.4pt" o:ole="">
            <v:imagedata r:id="rId13" o:title=""/>
          </v:shape>
          <o:OLEObject Type="Embed" ProgID="Equation.3" ShapeID="_x0000_i1028" DrawAspect="Content" ObjectID="_1740410345" r:id="rId19"/>
        </w:object>
      </w:r>
      <w:proofErr w:type="spellStart"/>
      <w:r w:rsidRPr="66B220A0">
        <w:rPr>
          <w:rFonts w:cs="Arial"/>
          <w:sz w:val="16"/>
          <w:szCs w:val="16"/>
          <w:lang w:val="pt-BR" w:eastAsia="es-ES"/>
        </w:rPr>
        <w:t>VR</w:t>
      </w:r>
      <w:r w:rsidRPr="66B220A0">
        <w:rPr>
          <w:rFonts w:cs="Arial"/>
          <w:sz w:val="16"/>
          <w:szCs w:val="16"/>
          <w:vertAlign w:val="subscript"/>
          <w:lang w:val="pt-BR" w:eastAsia="es-ES"/>
        </w:rPr>
        <w:t>i</w:t>
      </w:r>
      <w:proofErr w:type="spellEnd"/>
      <w:r w:rsidRPr="66B220A0">
        <w:rPr>
          <w:rFonts w:cs="Arial"/>
          <w:sz w:val="16"/>
          <w:szCs w:val="16"/>
          <w:lang w:eastAsia="es-ES"/>
        </w:rPr>
        <w:t xml:space="preserve">           </w:t>
      </w:r>
      <w:r w:rsidRPr="00423FF9">
        <w:rPr>
          <w:rFonts w:cs="Arial"/>
          <w:bCs/>
          <w:sz w:val="16"/>
          <w:szCs w:val="16"/>
          <w:lang w:eastAsia="es-ES"/>
        </w:rPr>
        <w:tab/>
      </w:r>
      <w:r w:rsidRPr="66B220A0">
        <w:rPr>
          <w:rFonts w:cs="Arial"/>
          <w:sz w:val="16"/>
          <w:szCs w:val="16"/>
          <w:lang w:eastAsia="es-ES"/>
        </w:rPr>
        <w:t xml:space="preserve">= </w:t>
      </w:r>
      <w:r w:rsidRPr="66B220A0">
        <w:rPr>
          <w:rFonts w:cs="Arial"/>
          <w:sz w:val="16"/>
          <w:szCs w:val="16"/>
        </w:rPr>
        <w:t>Suma</w:t>
      </w:r>
      <w:r w:rsidRPr="66B220A0">
        <w:rPr>
          <w:rFonts w:cs="Arial"/>
          <w:sz w:val="16"/>
          <w:szCs w:val="16"/>
          <w:lang w:val="es-ES"/>
        </w:rPr>
        <w:t xml:space="preserve"> de los valores razonables de todos los instrumentos financieros derivados negociados con la respectiva contraparte.</w:t>
      </w:r>
    </w:p>
    <w:p w14:paraId="24E71294" w14:textId="77777777" w:rsidR="009F30D1" w:rsidRPr="00423FF9" w:rsidRDefault="009F30D1" w:rsidP="000C5A93">
      <w:pPr>
        <w:tabs>
          <w:tab w:val="left" w:pos="851"/>
          <w:tab w:val="left" w:pos="1701"/>
        </w:tabs>
        <w:ind w:left="1134" w:hanging="1134"/>
        <w:rPr>
          <w:rFonts w:cs="Arial"/>
          <w:bCs/>
          <w:sz w:val="16"/>
          <w:szCs w:val="16"/>
          <w:lang w:eastAsia="es-ES"/>
        </w:rPr>
      </w:pPr>
    </w:p>
    <w:p w14:paraId="4FC08D2F" w14:textId="77777777" w:rsidR="009F30D1" w:rsidRPr="00423FF9" w:rsidRDefault="009F30D1" w:rsidP="000C5A93">
      <w:pPr>
        <w:tabs>
          <w:tab w:val="left" w:pos="851"/>
          <w:tab w:val="left" w:pos="1701"/>
        </w:tabs>
        <w:ind w:left="1134" w:hanging="1134"/>
        <w:rPr>
          <w:rFonts w:cs="Arial"/>
          <w:bCs/>
          <w:sz w:val="16"/>
          <w:szCs w:val="16"/>
          <w:lang w:eastAsia="es-ES"/>
        </w:rPr>
      </w:pPr>
      <w:r w:rsidRPr="00423FF9">
        <w:rPr>
          <w:rFonts w:cs="Arial"/>
          <w:bCs/>
          <w:sz w:val="16"/>
          <w:szCs w:val="16"/>
          <w:lang w:eastAsia="es-ES"/>
        </w:rPr>
        <w:t xml:space="preserve">C                 </w:t>
      </w:r>
      <w:r w:rsidRPr="00423FF9">
        <w:rPr>
          <w:rFonts w:cs="Arial"/>
          <w:bCs/>
          <w:sz w:val="16"/>
          <w:szCs w:val="16"/>
          <w:lang w:eastAsia="es-ES"/>
        </w:rPr>
        <w:tab/>
        <w:t>= Valor razonable de las garantías netas admisibles ponderadas por el ‘</w:t>
      </w:r>
      <w:proofErr w:type="spellStart"/>
      <w:r w:rsidRPr="00423FF9">
        <w:rPr>
          <w:rFonts w:cs="Arial"/>
          <w:bCs/>
          <w:sz w:val="16"/>
          <w:szCs w:val="16"/>
          <w:lang w:eastAsia="es-ES"/>
        </w:rPr>
        <w:t>haircut</w:t>
      </w:r>
      <w:proofErr w:type="spellEnd"/>
      <w:r w:rsidRPr="00423FF9">
        <w:rPr>
          <w:rFonts w:cs="Arial"/>
          <w:bCs/>
          <w:sz w:val="16"/>
          <w:szCs w:val="16"/>
          <w:lang w:eastAsia="es-ES"/>
        </w:rPr>
        <w:t>’ aplicable según el tipo de activo, de acuerdo con la tabla contenida en el numeral 1.3 del presente Anexo.</w:t>
      </w:r>
    </w:p>
    <w:p w14:paraId="28F5209D" w14:textId="77777777" w:rsidR="009F30D1" w:rsidRPr="00423FF9" w:rsidRDefault="009F30D1" w:rsidP="000C5A93">
      <w:pPr>
        <w:tabs>
          <w:tab w:val="left" w:pos="851"/>
          <w:tab w:val="left" w:pos="1701"/>
        </w:tabs>
        <w:ind w:left="1134" w:hanging="1134"/>
        <w:rPr>
          <w:rFonts w:cs="Arial"/>
          <w:bCs/>
          <w:sz w:val="16"/>
          <w:szCs w:val="16"/>
          <w:lang w:eastAsia="es-ES"/>
        </w:rPr>
      </w:pPr>
    </w:p>
    <w:p w14:paraId="5EF0E706" w14:textId="77777777" w:rsidR="009F30D1" w:rsidRPr="00423FF9" w:rsidRDefault="009F30D1" w:rsidP="000C5A93">
      <w:pPr>
        <w:jc w:val="left"/>
        <w:rPr>
          <w:rFonts w:cs="Arial"/>
          <w:bCs/>
          <w:sz w:val="16"/>
          <w:szCs w:val="16"/>
          <w:lang w:eastAsia="es-ES"/>
        </w:rPr>
      </w:pPr>
      <w:r w:rsidRPr="00423FF9">
        <w:rPr>
          <w:rFonts w:cs="Arial"/>
          <w:bCs/>
          <w:sz w:val="16"/>
          <w:szCs w:val="16"/>
          <w:lang w:eastAsia="es-ES"/>
        </w:rPr>
        <w:t>EPF</w:t>
      </w:r>
      <w:r w:rsidRPr="00423FF9">
        <w:rPr>
          <w:rFonts w:cs="Arial"/>
          <w:bCs/>
          <w:sz w:val="18"/>
          <w:szCs w:val="16"/>
          <w:vertAlign w:val="subscript"/>
          <w:lang w:val="pt-BR" w:eastAsia="es-ES"/>
        </w:rPr>
        <w:t>p</w:t>
      </w:r>
      <w:r w:rsidRPr="00423FF9">
        <w:rPr>
          <w:rFonts w:cs="Arial"/>
          <w:bCs/>
          <w:sz w:val="16"/>
          <w:szCs w:val="16"/>
          <w:lang w:eastAsia="es-ES"/>
        </w:rPr>
        <w:t xml:space="preserve">                 </w:t>
      </w:r>
      <w:r w:rsidRPr="00423FF9">
        <w:rPr>
          <w:rFonts w:cs="Arial"/>
          <w:bCs/>
          <w:sz w:val="16"/>
          <w:szCs w:val="16"/>
          <w:lang w:eastAsia="es-ES"/>
        </w:rPr>
        <w:tab/>
        <w:t xml:space="preserve"> = Valor de la Exposición Potencial Futura del portafolio, en caso de que esta sea diferente de cero.</w:t>
      </w:r>
    </w:p>
    <w:p w14:paraId="5ADBAFAA" w14:textId="77777777" w:rsidR="009F30D1" w:rsidRPr="00423FF9" w:rsidRDefault="009F30D1" w:rsidP="000C5A93">
      <w:pPr>
        <w:jc w:val="left"/>
        <w:rPr>
          <w:rFonts w:cs="Arial"/>
          <w:bCs/>
          <w:sz w:val="16"/>
          <w:szCs w:val="16"/>
          <w:lang w:eastAsia="es-ES"/>
        </w:rPr>
      </w:pPr>
    </w:p>
    <w:p w14:paraId="38EEE879" w14:textId="77777777" w:rsidR="009F30D1" w:rsidRPr="00423FF9" w:rsidRDefault="009F30D1" w:rsidP="000C5A93">
      <w:pPr>
        <w:jc w:val="left"/>
        <w:rPr>
          <w:rFonts w:cs="Arial"/>
          <w:bCs/>
          <w:sz w:val="16"/>
          <w:szCs w:val="16"/>
          <w:lang w:eastAsia="es-ES"/>
        </w:rPr>
      </w:pPr>
      <w:proofErr w:type="spellStart"/>
      <w:r w:rsidRPr="00423FF9">
        <w:rPr>
          <w:rFonts w:cs="Arial"/>
          <w:bCs/>
          <w:sz w:val="16"/>
          <w:szCs w:val="16"/>
          <w:lang w:eastAsia="es-ES"/>
        </w:rPr>
        <w:t>exp</w:t>
      </w:r>
      <w:proofErr w:type="spellEnd"/>
      <w:r w:rsidRPr="00423FF9">
        <w:rPr>
          <w:rFonts w:cs="Arial"/>
          <w:bCs/>
          <w:sz w:val="16"/>
          <w:szCs w:val="16"/>
          <w:lang w:eastAsia="es-ES"/>
        </w:rPr>
        <w:t xml:space="preserve">(x)              </w:t>
      </w:r>
      <w:r w:rsidRPr="00423FF9">
        <w:rPr>
          <w:rFonts w:cs="Arial"/>
          <w:bCs/>
          <w:sz w:val="16"/>
          <w:szCs w:val="16"/>
          <w:lang w:eastAsia="es-ES"/>
        </w:rPr>
        <w:tab/>
        <w:t xml:space="preserve"> = función exponencial </w:t>
      </w:r>
      <w:r w:rsidRPr="00423FF9">
        <w:rPr>
          <w:rFonts w:cs="Arial"/>
          <w:bCs/>
          <w:i/>
          <w:sz w:val="16"/>
          <w:szCs w:val="16"/>
          <w:lang w:eastAsia="es-ES"/>
        </w:rPr>
        <w:t>e^</w:t>
      </w:r>
      <w:r w:rsidRPr="00423FF9">
        <w:rPr>
          <w:rFonts w:cs="Arial"/>
          <w:bCs/>
          <w:sz w:val="16"/>
          <w:szCs w:val="16"/>
          <w:lang w:eastAsia="es-ES"/>
        </w:rPr>
        <w:t>(x)</w:t>
      </w:r>
    </w:p>
    <w:p w14:paraId="258E19A9" w14:textId="77777777" w:rsidR="009F30D1" w:rsidRDefault="009F30D1" w:rsidP="009F30D1">
      <w:pPr>
        <w:tabs>
          <w:tab w:val="left" w:pos="851"/>
          <w:tab w:val="left" w:pos="1701"/>
        </w:tabs>
        <w:rPr>
          <w:rFonts w:cs="Arial"/>
          <w:sz w:val="16"/>
          <w:szCs w:val="16"/>
          <w:lang w:eastAsia="es-ES"/>
        </w:rPr>
      </w:pPr>
    </w:p>
    <w:p w14:paraId="577B28D5" w14:textId="77777777" w:rsidR="009F30D1" w:rsidRDefault="009F30D1" w:rsidP="00494912">
      <w:pPr>
        <w:pStyle w:val="Ttulo2"/>
        <w:spacing w:before="0" w:after="0"/>
        <w:rPr>
          <w:rFonts w:cs="Arial"/>
          <w:sz w:val="16"/>
          <w:szCs w:val="16"/>
          <w:lang w:eastAsia="es-ES"/>
        </w:rPr>
      </w:pPr>
      <w:bookmarkStart w:id="9" w:name="_Toc3399973"/>
      <w:r w:rsidRPr="005B2530">
        <w:rPr>
          <w:rFonts w:cs="Arial"/>
          <w:sz w:val="16"/>
          <w:szCs w:val="16"/>
          <w:lang w:eastAsia="es-ES"/>
        </w:rPr>
        <w:t>1.3.</w:t>
      </w:r>
      <w:r>
        <w:rPr>
          <w:rFonts w:cs="Arial"/>
          <w:sz w:val="16"/>
          <w:szCs w:val="16"/>
          <w:lang w:eastAsia="es-ES"/>
        </w:rPr>
        <w:t xml:space="preserve"> Garantías</w:t>
      </w:r>
      <w:r w:rsidRPr="005B2530">
        <w:rPr>
          <w:rFonts w:cs="Arial"/>
          <w:sz w:val="16"/>
          <w:szCs w:val="16"/>
          <w:lang w:eastAsia="es-ES"/>
        </w:rPr>
        <w:t xml:space="preserve"> admisibles para el cálculo del</w:t>
      </w:r>
      <w:r>
        <w:rPr>
          <w:rFonts w:cs="Arial"/>
          <w:sz w:val="16"/>
          <w:szCs w:val="16"/>
          <w:lang w:eastAsia="es-ES"/>
        </w:rPr>
        <w:t xml:space="preserve"> Costo de Reposición y el Multiplicador por Garantías. </w:t>
      </w:r>
    </w:p>
    <w:p w14:paraId="2ADA5550" w14:textId="77777777" w:rsidR="009F30D1" w:rsidRPr="00E5698E" w:rsidRDefault="009F30D1" w:rsidP="00494912">
      <w:pPr>
        <w:rPr>
          <w:b/>
          <w:sz w:val="16"/>
          <w:lang w:eastAsia="es-ES"/>
        </w:rPr>
      </w:pPr>
    </w:p>
    <w:p w14:paraId="1507A10D" w14:textId="77777777" w:rsidR="009F30D1" w:rsidRPr="00494912" w:rsidRDefault="009F30D1" w:rsidP="00494912">
      <w:pPr>
        <w:rPr>
          <w:bCs/>
          <w:sz w:val="16"/>
          <w:lang w:eastAsia="es-ES"/>
        </w:rPr>
      </w:pPr>
      <w:r w:rsidRPr="00494912">
        <w:rPr>
          <w:bCs/>
          <w:sz w:val="16"/>
          <w:lang w:eastAsia="es-ES"/>
        </w:rPr>
        <w:t>Para el cálculo de las garantías netas ponderadas en el Costo de Reposición y el Multiplicador por Garantías, se deben tener en cuenta los siguientes ‘</w:t>
      </w:r>
      <w:proofErr w:type="spellStart"/>
      <w:r w:rsidRPr="00494912">
        <w:rPr>
          <w:bCs/>
          <w:sz w:val="16"/>
          <w:lang w:eastAsia="es-ES"/>
        </w:rPr>
        <w:t>haircuts</w:t>
      </w:r>
      <w:proofErr w:type="spellEnd"/>
      <w:r w:rsidRPr="00494912">
        <w:rPr>
          <w:bCs/>
          <w:sz w:val="16"/>
          <w:lang w:eastAsia="es-ES"/>
        </w:rPr>
        <w:t>’ o factores de descuento:</w:t>
      </w:r>
      <w:bookmarkEnd w:id="9"/>
    </w:p>
    <w:p w14:paraId="60BA3208" w14:textId="77777777" w:rsidR="009F30D1" w:rsidRDefault="009F30D1" w:rsidP="009F30D1">
      <w:pPr>
        <w:rPr>
          <w:rFonts w:cs="Arial"/>
          <w:sz w:val="16"/>
          <w:szCs w:val="16"/>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6"/>
        <w:gridCol w:w="4557"/>
      </w:tblGrid>
      <w:tr w:rsidR="009F30D1" w:rsidRPr="005B2530" w14:paraId="195ECBBF" w14:textId="77777777" w:rsidTr="001E0851">
        <w:trPr>
          <w:jc w:val="center"/>
        </w:trPr>
        <w:tc>
          <w:tcPr>
            <w:tcW w:w="4136" w:type="dxa"/>
            <w:shd w:val="clear" w:color="auto" w:fill="auto"/>
          </w:tcPr>
          <w:p w14:paraId="621E5397" w14:textId="77777777" w:rsidR="009F30D1" w:rsidRPr="00DA5E8D" w:rsidRDefault="009F30D1" w:rsidP="00E945AC">
            <w:pPr>
              <w:jc w:val="center"/>
              <w:rPr>
                <w:rFonts w:cs="Arial"/>
                <w:b/>
                <w:sz w:val="18"/>
                <w:szCs w:val="16"/>
                <w:lang w:eastAsia="es-ES"/>
              </w:rPr>
            </w:pPr>
            <w:r w:rsidRPr="00DA5E8D">
              <w:rPr>
                <w:rFonts w:cs="Arial"/>
                <w:b/>
                <w:sz w:val="18"/>
                <w:szCs w:val="16"/>
                <w:lang w:eastAsia="es-ES"/>
              </w:rPr>
              <w:t>Activo</w:t>
            </w:r>
          </w:p>
        </w:tc>
        <w:tc>
          <w:tcPr>
            <w:tcW w:w="4557" w:type="dxa"/>
            <w:shd w:val="clear" w:color="auto" w:fill="auto"/>
          </w:tcPr>
          <w:p w14:paraId="4079BD45" w14:textId="77777777" w:rsidR="009F30D1" w:rsidRPr="00DA5E8D" w:rsidRDefault="009F30D1" w:rsidP="00E945AC">
            <w:pPr>
              <w:jc w:val="center"/>
              <w:rPr>
                <w:rFonts w:cs="Arial"/>
                <w:b/>
                <w:sz w:val="18"/>
                <w:szCs w:val="16"/>
                <w:lang w:eastAsia="es-ES"/>
              </w:rPr>
            </w:pPr>
            <w:r>
              <w:rPr>
                <w:rFonts w:cs="Arial"/>
                <w:b/>
                <w:sz w:val="18"/>
                <w:szCs w:val="16"/>
                <w:lang w:eastAsia="es-ES"/>
              </w:rPr>
              <w:t>Factores de d</w:t>
            </w:r>
            <w:r w:rsidRPr="00DA5E8D">
              <w:rPr>
                <w:rFonts w:cs="Arial"/>
                <w:b/>
                <w:sz w:val="18"/>
                <w:szCs w:val="16"/>
                <w:lang w:eastAsia="es-ES"/>
              </w:rPr>
              <w:t>escuento</w:t>
            </w:r>
          </w:p>
        </w:tc>
      </w:tr>
      <w:tr w:rsidR="009F30D1" w:rsidRPr="005B2530" w14:paraId="7A2586CE" w14:textId="77777777" w:rsidTr="001E0851">
        <w:trPr>
          <w:trHeight w:val="364"/>
          <w:jc w:val="center"/>
        </w:trPr>
        <w:tc>
          <w:tcPr>
            <w:tcW w:w="4136" w:type="dxa"/>
            <w:shd w:val="clear" w:color="auto" w:fill="auto"/>
            <w:vAlign w:val="center"/>
          </w:tcPr>
          <w:p w14:paraId="64BB2365" w14:textId="77777777" w:rsidR="009F30D1" w:rsidRPr="00956C93" w:rsidRDefault="009F30D1" w:rsidP="00956C93">
            <w:pPr>
              <w:rPr>
                <w:rFonts w:cs="Arial"/>
                <w:bCs/>
                <w:sz w:val="16"/>
                <w:szCs w:val="16"/>
                <w:lang w:eastAsia="es-ES"/>
              </w:rPr>
            </w:pPr>
            <w:r w:rsidRPr="00956C93">
              <w:rPr>
                <w:rFonts w:cs="Arial"/>
                <w:bCs/>
                <w:sz w:val="16"/>
                <w:szCs w:val="16"/>
                <w:lang w:eastAsia="es-ES"/>
              </w:rPr>
              <w:t>Efectivo en pesos o divisas</w:t>
            </w:r>
          </w:p>
        </w:tc>
        <w:tc>
          <w:tcPr>
            <w:tcW w:w="4557" w:type="dxa"/>
            <w:shd w:val="clear" w:color="auto" w:fill="auto"/>
            <w:vAlign w:val="center"/>
          </w:tcPr>
          <w:p w14:paraId="7A49BEB1" w14:textId="77777777" w:rsidR="009F30D1" w:rsidRPr="00956C93" w:rsidRDefault="009F30D1" w:rsidP="000E5F63">
            <w:pPr>
              <w:jc w:val="center"/>
              <w:rPr>
                <w:rFonts w:cs="Arial"/>
                <w:bCs/>
                <w:sz w:val="16"/>
                <w:szCs w:val="16"/>
                <w:lang w:eastAsia="es-ES"/>
              </w:rPr>
            </w:pPr>
            <w:r w:rsidRPr="00956C93">
              <w:rPr>
                <w:rFonts w:cs="Arial"/>
                <w:bCs/>
                <w:sz w:val="16"/>
                <w:szCs w:val="16"/>
                <w:lang w:eastAsia="es-ES"/>
              </w:rPr>
              <w:t>0%</w:t>
            </w:r>
          </w:p>
        </w:tc>
      </w:tr>
      <w:tr w:rsidR="009F30D1" w:rsidRPr="005B2530" w14:paraId="5CA23C78" w14:textId="77777777" w:rsidTr="001E0851">
        <w:trPr>
          <w:trHeight w:val="855"/>
          <w:jc w:val="center"/>
        </w:trPr>
        <w:tc>
          <w:tcPr>
            <w:tcW w:w="4136" w:type="dxa"/>
            <w:shd w:val="clear" w:color="auto" w:fill="auto"/>
            <w:vAlign w:val="center"/>
          </w:tcPr>
          <w:p w14:paraId="0CB18C71" w14:textId="77777777" w:rsidR="009F30D1" w:rsidRPr="00956C93" w:rsidRDefault="009F30D1" w:rsidP="00956C93">
            <w:pPr>
              <w:rPr>
                <w:rFonts w:cs="Arial"/>
                <w:bCs/>
                <w:sz w:val="16"/>
                <w:szCs w:val="16"/>
                <w:lang w:eastAsia="es-ES"/>
              </w:rPr>
            </w:pPr>
            <w:r w:rsidRPr="00956C93">
              <w:rPr>
                <w:rFonts w:cs="Arial"/>
                <w:bCs/>
                <w:sz w:val="16"/>
                <w:szCs w:val="16"/>
                <w:lang w:eastAsia="es-ES"/>
              </w:rPr>
              <w:t>Títulos de renta fija aceptados por el Banco de la República como colateral en operaciones Repo de expansión</w:t>
            </w:r>
          </w:p>
        </w:tc>
        <w:tc>
          <w:tcPr>
            <w:tcW w:w="4557" w:type="dxa"/>
            <w:shd w:val="clear" w:color="auto" w:fill="auto"/>
            <w:vAlign w:val="center"/>
          </w:tcPr>
          <w:p w14:paraId="12658B6B" w14:textId="77777777" w:rsidR="009F30D1" w:rsidRPr="00956C93" w:rsidRDefault="009F30D1" w:rsidP="00956C93">
            <w:pPr>
              <w:pStyle w:val="Normal9pt"/>
              <w:numPr>
                <w:ilvl w:val="0"/>
                <w:numId w:val="0"/>
              </w:numPr>
              <w:rPr>
                <w:bCs/>
                <w:i w:val="0"/>
              </w:rPr>
            </w:pPr>
            <w:r w:rsidRPr="00956C93">
              <w:rPr>
                <w:bCs/>
                <w:i w:val="0"/>
                <w:sz w:val="16"/>
                <w:szCs w:val="16"/>
                <w:lang w:val="es-ES_tradnl" w:eastAsia="es-ES"/>
              </w:rPr>
              <w:t>Se debe aplicar los ‘</w:t>
            </w:r>
            <w:proofErr w:type="spellStart"/>
            <w:r w:rsidRPr="00956C93">
              <w:rPr>
                <w:bCs/>
                <w:i w:val="0"/>
                <w:sz w:val="16"/>
                <w:szCs w:val="16"/>
                <w:lang w:val="es-ES_tradnl" w:eastAsia="es-ES"/>
              </w:rPr>
              <w:t>haircuts</w:t>
            </w:r>
            <w:proofErr w:type="spellEnd"/>
            <w:r w:rsidRPr="00956C93">
              <w:rPr>
                <w:bCs/>
                <w:i w:val="0"/>
                <w:sz w:val="16"/>
                <w:szCs w:val="16"/>
                <w:lang w:val="es-ES_tradnl" w:eastAsia="es-ES"/>
              </w:rPr>
              <w:t>’ o descuentos diarios que aplica el Banco de la República, los cuales son actualizados y publicados en la página web del Banco.</w:t>
            </w:r>
          </w:p>
        </w:tc>
      </w:tr>
      <w:tr w:rsidR="009F30D1" w:rsidRPr="005B2530" w14:paraId="2B899F62" w14:textId="77777777" w:rsidTr="001E0851">
        <w:trPr>
          <w:trHeight w:val="537"/>
          <w:jc w:val="center"/>
        </w:trPr>
        <w:tc>
          <w:tcPr>
            <w:tcW w:w="4136" w:type="dxa"/>
            <w:shd w:val="clear" w:color="auto" w:fill="auto"/>
            <w:vAlign w:val="center"/>
          </w:tcPr>
          <w:p w14:paraId="56F6B510" w14:textId="77777777" w:rsidR="009F30D1" w:rsidRPr="00956C93" w:rsidRDefault="009F30D1" w:rsidP="00956C93">
            <w:pPr>
              <w:rPr>
                <w:rFonts w:cs="Arial"/>
                <w:bCs/>
                <w:color w:val="FF0000"/>
                <w:sz w:val="16"/>
                <w:szCs w:val="16"/>
                <w:lang w:eastAsia="es-ES"/>
              </w:rPr>
            </w:pPr>
            <w:r w:rsidRPr="00956C93">
              <w:rPr>
                <w:rFonts w:cs="Arial"/>
                <w:bCs/>
                <w:sz w:val="16"/>
                <w:szCs w:val="16"/>
                <w:lang w:eastAsia="es-ES"/>
              </w:rPr>
              <w:t>Títulos de deuda pública extranjera de emisores con grado de inversión</w:t>
            </w:r>
          </w:p>
        </w:tc>
        <w:tc>
          <w:tcPr>
            <w:tcW w:w="4557" w:type="dxa"/>
            <w:shd w:val="clear" w:color="auto" w:fill="auto"/>
            <w:vAlign w:val="center"/>
          </w:tcPr>
          <w:p w14:paraId="518D0F1D" w14:textId="77777777" w:rsidR="009F30D1" w:rsidRPr="00956C93" w:rsidRDefault="009F30D1" w:rsidP="000E5F63">
            <w:pPr>
              <w:jc w:val="center"/>
              <w:rPr>
                <w:rFonts w:cs="Arial"/>
                <w:bCs/>
                <w:color w:val="000000"/>
                <w:sz w:val="16"/>
                <w:szCs w:val="16"/>
                <w:lang w:eastAsia="es-ES"/>
              </w:rPr>
            </w:pPr>
            <w:r w:rsidRPr="00956C93">
              <w:rPr>
                <w:rFonts w:cs="Arial"/>
                <w:bCs/>
                <w:color w:val="000000"/>
                <w:sz w:val="16"/>
                <w:szCs w:val="16"/>
                <w:lang w:eastAsia="es-ES"/>
              </w:rPr>
              <w:t>4%</w:t>
            </w:r>
          </w:p>
        </w:tc>
      </w:tr>
      <w:tr w:rsidR="005C357F" w:rsidRPr="005B2530" w14:paraId="2C503319" w14:textId="77777777" w:rsidTr="001E0851">
        <w:trPr>
          <w:trHeight w:val="537"/>
          <w:jc w:val="center"/>
        </w:trPr>
        <w:tc>
          <w:tcPr>
            <w:tcW w:w="4136" w:type="dxa"/>
            <w:shd w:val="clear" w:color="auto" w:fill="auto"/>
            <w:vAlign w:val="center"/>
          </w:tcPr>
          <w:p w14:paraId="57782AA0" w14:textId="68EDDCD0" w:rsidR="005C357F" w:rsidRPr="00956C93" w:rsidRDefault="005C357F" w:rsidP="00956C93">
            <w:pPr>
              <w:rPr>
                <w:rFonts w:cs="Arial"/>
                <w:bCs/>
                <w:sz w:val="16"/>
                <w:szCs w:val="16"/>
                <w:lang w:eastAsia="es-ES"/>
              </w:rPr>
            </w:pPr>
            <w:r w:rsidRPr="00956C93">
              <w:rPr>
                <w:rFonts w:cs="Arial"/>
                <w:bCs/>
                <w:sz w:val="16"/>
                <w:szCs w:val="16"/>
                <w:lang w:eastAsia="es-ES"/>
              </w:rPr>
              <w:t xml:space="preserve">Participaciones en fondos de inversión colectiva abiertos sin pacto de permanencia que cumplan con los requisitos mínimos establecidos en el subnumeral 1.3.1. </w:t>
            </w:r>
          </w:p>
        </w:tc>
        <w:tc>
          <w:tcPr>
            <w:tcW w:w="4557" w:type="dxa"/>
            <w:shd w:val="clear" w:color="auto" w:fill="auto"/>
            <w:vAlign w:val="center"/>
          </w:tcPr>
          <w:p w14:paraId="38082A6C" w14:textId="083D0064" w:rsidR="005C357F" w:rsidRPr="00956C93" w:rsidRDefault="005C357F" w:rsidP="000E5F63">
            <w:pPr>
              <w:jc w:val="center"/>
              <w:rPr>
                <w:rFonts w:cs="Arial"/>
                <w:bCs/>
                <w:color w:val="000000"/>
                <w:sz w:val="16"/>
                <w:szCs w:val="16"/>
                <w:lang w:eastAsia="es-ES"/>
              </w:rPr>
            </w:pPr>
            <w:r w:rsidRPr="00956C93">
              <w:rPr>
                <w:rFonts w:cs="Arial"/>
                <w:bCs/>
                <w:color w:val="000000"/>
                <w:sz w:val="16"/>
                <w:szCs w:val="16"/>
                <w:lang w:eastAsia="es-ES"/>
              </w:rPr>
              <w:t>25%</w:t>
            </w:r>
          </w:p>
        </w:tc>
      </w:tr>
    </w:tbl>
    <w:p w14:paraId="6887A670" w14:textId="77777777" w:rsidR="007479EE" w:rsidRDefault="007479EE" w:rsidP="007479EE">
      <w:pPr>
        <w:tabs>
          <w:tab w:val="left" w:pos="851"/>
          <w:tab w:val="left" w:pos="1701"/>
        </w:tabs>
        <w:rPr>
          <w:rFonts w:cs="Arial"/>
          <w:bCs/>
          <w:sz w:val="16"/>
          <w:szCs w:val="16"/>
          <w:lang w:eastAsia="es-ES"/>
        </w:rPr>
      </w:pPr>
    </w:p>
    <w:p w14:paraId="37090223" w14:textId="1DEE197A" w:rsidR="007479EE" w:rsidRPr="0025589E" w:rsidRDefault="007479EE" w:rsidP="008E220E">
      <w:pPr>
        <w:tabs>
          <w:tab w:val="left" w:pos="851"/>
          <w:tab w:val="left" w:pos="1701"/>
        </w:tabs>
        <w:rPr>
          <w:rFonts w:cs="Arial"/>
          <w:bCs/>
          <w:sz w:val="16"/>
          <w:szCs w:val="16"/>
          <w:lang w:eastAsia="es-ES"/>
        </w:rPr>
      </w:pPr>
      <w:r w:rsidRPr="0025589E">
        <w:rPr>
          <w:rFonts w:cs="Arial"/>
          <w:bCs/>
          <w:sz w:val="16"/>
          <w:szCs w:val="16"/>
          <w:lang w:eastAsia="es-ES"/>
        </w:rPr>
        <w:t>En los casos en los cuales los activos otorgados en garantía estén denominados en una moneda diferente a la de la obligación de pago del instrumento financiero derivado o de la moneda principal definida por las partes para el portafolio, se debe adicionar un ‘</w:t>
      </w:r>
      <w:proofErr w:type="spellStart"/>
      <w:r w:rsidRPr="0025589E">
        <w:rPr>
          <w:rFonts w:cs="Arial"/>
          <w:bCs/>
          <w:sz w:val="16"/>
          <w:szCs w:val="16"/>
          <w:lang w:eastAsia="es-ES"/>
        </w:rPr>
        <w:t>haircut</w:t>
      </w:r>
      <w:proofErr w:type="spellEnd"/>
      <w:r w:rsidRPr="0025589E">
        <w:rPr>
          <w:rFonts w:cs="Arial"/>
          <w:bCs/>
          <w:sz w:val="16"/>
          <w:szCs w:val="16"/>
          <w:lang w:eastAsia="es-ES"/>
        </w:rPr>
        <w:t>’ correspondiente al 8%</w:t>
      </w:r>
      <w:r w:rsidR="00D6669F">
        <w:rPr>
          <w:rFonts w:cs="Arial"/>
          <w:bCs/>
          <w:sz w:val="16"/>
          <w:szCs w:val="16"/>
          <w:lang w:eastAsia="es-ES"/>
        </w:rPr>
        <w:t>.</w:t>
      </w:r>
    </w:p>
    <w:p w14:paraId="6FA3BE52" w14:textId="77777777" w:rsidR="007479EE" w:rsidRPr="0025589E" w:rsidRDefault="007479EE" w:rsidP="007479EE">
      <w:pPr>
        <w:tabs>
          <w:tab w:val="left" w:pos="851"/>
          <w:tab w:val="left" w:pos="1701"/>
        </w:tabs>
        <w:rPr>
          <w:rFonts w:cs="Arial"/>
          <w:bCs/>
          <w:sz w:val="16"/>
          <w:szCs w:val="16"/>
          <w:lang w:eastAsia="es-ES"/>
        </w:rPr>
      </w:pPr>
    </w:p>
    <w:p w14:paraId="77C9462C" w14:textId="77777777" w:rsidR="007479EE" w:rsidRPr="0025589E" w:rsidRDefault="007479EE" w:rsidP="007479EE">
      <w:pPr>
        <w:tabs>
          <w:tab w:val="left" w:pos="426"/>
        </w:tabs>
        <w:rPr>
          <w:rFonts w:cs="Arial"/>
          <w:bCs/>
          <w:sz w:val="16"/>
          <w:szCs w:val="16"/>
          <w:lang w:val="es-MX" w:eastAsia="es-ES"/>
        </w:rPr>
      </w:pPr>
      <w:r w:rsidRPr="0025589E">
        <w:rPr>
          <w:rFonts w:cs="Arial"/>
          <w:bCs/>
          <w:sz w:val="16"/>
          <w:szCs w:val="16"/>
          <w:lang w:val="es-MX" w:eastAsia="es-ES"/>
        </w:rPr>
        <w:t>Las garantías admisibles, así como los factores de descuento aplicables podrán ser revisados por la SFC y podrán ser adicionados o modificados en cualquier momento.</w:t>
      </w:r>
    </w:p>
    <w:p w14:paraId="7F9605E2" w14:textId="77777777" w:rsidR="007479EE" w:rsidRPr="0025589E" w:rsidRDefault="007479EE" w:rsidP="007479EE">
      <w:pPr>
        <w:tabs>
          <w:tab w:val="left" w:pos="426"/>
        </w:tabs>
        <w:rPr>
          <w:rFonts w:cs="Arial"/>
          <w:bCs/>
          <w:sz w:val="16"/>
          <w:szCs w:val="16"/>
          <w:lang w:val="es-MX" w:eastAsia="es-ES"/>
        </w:rPr>
      </w:pPr>
    </w:p>
    <w:p w14:paraId="396CB1B4" w14:textId="77777777" w:rsidR="007479EE" w:rsidRPr="0025589E" w:rsidRDefault="007479EE" w:rsidP="007479EE">
      <w:pPr>
        <w:tabs>
          <w:tab w:val="left" w:pos="851"/>
          <w:tab w:val="left" w:pos="1701"/>
        </w:tabs>
        <w:rPr>
          <w:rFonts w:cs="Arial"/>
          <w:bCs/>
          <w:sz w:val="16"/>
          <w:szCs w:val="16"/>
          <w:lang w:eastAsia="es-ES"/>
        </w:rPr>
      </w:pPr>
      <w:r w:rsidRPr="0025589E">
        <w:rPr>
          <w:rFonts w:cs="Arial"/>
          <w:bCs/>
          <w:sz w:val="16"/>
          <w:szCs w:val="16"/>
          <w:lang w:eastAsia="es-ES"/>
        </w:rPr>
        <w:t>1.3.1. Las participaciones en fondos de inversión colectiva abiertos sin pacto de permanencia se consideran como garantías admisibles siempre que el respectivo vehículo cumpla con las siguientes condiciones:</w:t>
      </w:r>
    </w:p>
    <w:p w14:paraId="19EA10F2" w14:textId="77777777" w:rsidR="007479EE" w:rsidRPr="0025589E" w:rsidRDefault="007479EE" w:rsidP="007479EE">
      <w:pPr>
        <w:tabs>
          <w:tab w:val="left" w:pos="851"/>
          <w:tab w:val="left" w:pos="1701"/>
        </w:tabs>
        <w:rPr>
          <w:rFonts w:cs="Arial"/>
          <w:bCs/>
          <w:sz w:val="16"/>
          <w:szCs w:val="16"/>
          <w:lang w:eastAsia="es-ES"/>
        </w:rPr>
      </w:pPr>
    </w:p>
    <w:p w14:paraId="4398E37D" w14:textId="77777777" w:rsidR="007479EE" w:rsidRPr="0025589E" w:rsidRDefault="007479EE" w:rsidP="007479EE">
      <w:pPr>
        <w:tabs>
          <w:tab w:val="left" w:pos="851"/>
          <w:tab w:val="left" w:pos="1701"/>
        </w:tabs>
        <w:rPr>
          <w:rFonts w:cs="Arial"/>
          <w:bCs/>
          <w:sz w:val="16"/>
          <w:szCs w:val="16"/>
          <w:lang w:eastAsia="es-ES"/>
        </w:rPr>
      </w:pPr>
      <w:r w:rsidRPr="0025589E">
        <w:rPr>
          <w:rFonts w:cs="Arial"/>
          <w:bCs/>
          <w:sz w:val="16"/>
          <w:szCs w:val="16"/>
          <w:lang w:eastAsia="es-ES"/>
        </w:rPr>
        <w:t>1.3.1.1. Que tenga perfil conservador o bajo riesgo, definido en el reglamento respectivo.</w:t>
      </w:r>
    </w:p>
    <w:p w14:paraId="5B5C0880" w14:textId="77777777" w:rsidR="007479EE" w:rsidRPr="0025589E" w:rsidRDefault="007479EE" w:rsidP="007479EE">
      <w:pPr>
        <w:tabs>
          <w:tab w:val="left" w:pos="851"/>
          <w:tab w:val="left" w:pos="1701"/>
        </w:tabs>
        <w:rPr>
          <w:rFonts w:cs="Arial"/>
          <w:bCs/>
          <w:sz w:val="16"/>
          <w:szCs w:val="16"/>
          <w:lang w:eastAsia="es-ES"/>
        </w:rPr>
      </w:pPr>
    </w:p>
    <w:p w14:paraId="74BF0B63" w14:textId="77777777" w:rsidR="007479EE" w:rsidRPr="0025589E" w:rsidRDefault="007479EE" w:rsidP="007479EE">
      <w:pPr>
        <w:tabs>
          <w:tab w:val="left" w:pos="851"/>
          <w:tab w:val="left" w:pos="1701"/>
        </w:tabs>
        <w:rPr>
          <w:rFonts w:cs="Arial"/>
          <w:bCs/>
          <w:sz w:val="16"/>
          <w:szCs w:val="16"/>
          <w:lang w:eastAsia="es-ES"/>
        </w:rPr>
      </w:pPr>
      <w:r w:rsidRPr="0025589E">
        <w:rPr>
          <w:rFonts w:cs="Arial"/>
          <w:bCs/>
          <w:sz w:val="16"/>
          <w:szCs w:val="16"/>
          <w:lang w:eastAsia="es-ES"/>
        </w:rPr>
        <w:t xml:space="preserve">1.3.1.2. Que su política de inversión contemple una participación que represente una mayoría significativa del fondo en efectivo y/o valores de renta fija de corta duración de emisores nacionales, inscritos en el RNVE, y calificados como mínimo con grado de inversión, salvo los títulos de deuda pública emitidos o garantizados por la Nación, por el Banco de la República o por el Fondo de Garantías de Instituciones Financieras- FOGAFIN, los cuales no requerirán calificación. </w:t>
      </w:r>
    </w:p>
    <w:p w14:paraId="6024BC97" w14:textId="77777777" w:rsidR="007479EE" w:rsidRPr="0025589E" w:rsidRDefault="007479EE" w:rsidP="007479EE">
      <w:pPr>
        <w:tabs>
          <w:tab w:val="left" w:pos="851"/>
          <w:tab w:val="left" w:pos="1701"/>
        </w:tabs>
        <w:rPr>
          <w:rFonts w:cs="Arial"/>
          <w:bCs/>
          <w:sz w:val="16"/>
          <w:szCs w:val="16"/>
          <w:lang w:eastAsia="es-ES"/>
        </w:rPr>
      </w:pPr>
    </w:p>
    <w:p w14:paraId="7C63CEC9" w14:textId="77777777" w:rsidR="007479EE" w:rsidRPr="0025589E" w:rsidRDefault="007479EE" w:rsidP="007479EE">
      <w:pPr>
        <w:tabs>
          <w:tab w:val="left" w:pos="851"/>
          <w:tab w:val="left" w:pos="1701"/>
        </w:tabs>
        <w:rPr>
          <w:rFonts w:cs="Arial"/>
          <w:bCs/>
          <w:sz w:val="16"/>
          <w:szCs w:val="16"/>
          <w:lang w:eastAsia="es-ES"/>
        </w:rPr>
      </w:pPr>
      <w:r w:rsidRPr="0025589E">
        <w:rPr>
          <w:rFonts w:cs="Arial"/>
          <w:bCs/>
          <w:sz w:val="16"/>
          <w:szCs w:val="16"/>
          <w:lang w:eastAsia="es-ES"/>
        </w:rPr>
        <w:t>1.3.1.3. Que no realice operaciones de naturaleza apalancada.</w:t>
      </w:r>
    </w:p>
    <w:p w14:paraId="1C00DE5F" w14:textId="77777777" w:rsidR="007479EE" w:rsidRPr="0025589E" w:rsidRDefault="007479EE" w:rsidP="007479EE">
      <w:pPr>
        <w:tabs>
          <w:tab w:val="left" w:pos="851"/>
          <w:tab w:val="left" w:pos="1701"/>
        </w:tabs>
        <w:rPr>
          <w:rFonts w:cs="Arial"/>
          <w:bCs/>
          <w:sz w:val="16"/>
          <w:szCs w:val="16"/>
          <w:lang w:eastAsia="es-ES"/>
        </w:rPr>
      </w:pPr>
    </w:p>
    <w:p w14:paraId="685FA4F9" w14:textId="77777777" w:rsidR="007479EE" w:rsidRPr="0025589E" w:rsidRDefault="007479EE" w:rsidP="007479EE">
      <w:pPr>
        <w:tabs>
          <w:tab w:val="left" w:pos="851"/>
          <w:tab w:val="left" w:pos="1701"/>
        </w:tabs>
        <w:rPr>
          <w:rFonts w:cs="Arial"/>
          <w:bCs/>
          <w:sz w:val="16"/>
          <w:szCs w:val="16"/>
          <w:lang w:eastAsia="es-ES"/>
        </w:rPr>
      </w:pPr>
      <w:r w:rsidRPr="0025589E">
        <w:rPr>
          <w:rFonts w:cs="Arial"/>
          <w:bCs/>
          <w:sz w:val="16"/>
          <w:szCs w:val="16"/>
          <w:lang w:eastAsia="es-ES"/>
        </w:rPr>
        <w:t xml:space="preserve">1.3.1.4. Que el reglamento contemple que la redención de participaciones se hará a más tardar al día hábil siguiente a la solicitud. </w:t>
      </w:r>
    </w:p>
    <w:p w14:paraId="3848C2B8" w14:textId="77777777" w:rsidR="007479EE" w:rsidRPr="0025589E" w:rsidRDefault="007479EE" w:rsidP="007479EE">
      <w:pPr>
        <w:tabs>
          <w:tab w:val="left" w:pos="851"/>
          <w:tab w:val="left" w:pos="1701"/>
        </w:tabs>
        <w:rPr>
          <w:rFonts w:cs="Arial"/>
          <w:bCs/>
          <w:sz w:val="16"/>
          <w:szCs w:val="16"/>
          <w:lang w:eastAsia="es-ES"/>
        </w:rPr>
      </w:pPr>
    </w:p>
    <w:p w14:paraId="5A62D3A6" w14:textId="77777777" w:rsidR="007479EE" w:rsidRPr="0025589E" w:rsidRDefault="007479EE" w:rsidP="007479EE">
      <w:pPr>
        <w:tabs>
          <w:tab w:val="left" w:pos="851"/>
          <w:tab w:val="left" w:pos="1701"/>
        </w:tabs>
        <w:rPr>
          <w:rFonts w:cs="Arial"/>
          <w:bCs/>
          <w:sz w:val="16"/>
          <w:szCs w:val="16"/>
          <w:lang w:eastAsia="es-ES"/>
        </w:rPr>
      </w:pPr>
      <w:r w:rsidRPr="0025589E">
        <w:rPr>
          <w:rFonts w:cs="Arial"/>
          <w:bCs/>
          <w:sz w:val="16"/>
          <w:szCs w:val="16"/>
          <w:lang w:eastAsia="es-ES"/>
        </w:rPr>
        <w:t xml:space="preserve">1.3.1.5. Que las participaciones entregadas en garantía a una misma parte no superen el 5% del valor neto del fondo. </w:t>
      </w:r>
    </w:p>
    <w:p w14:paraId="1C5E7A19" w14:textId="77777777" w:rsidR="007479EE" w:rsidRPr="00B151C0" w:rsidRDefault="007479EE" w:rsidP="007479EE">
      <w:pPr>
        <w:tabs>
          <w:tab w:val="left" w:pos="851"/>
          <w:tab w:val="left" w:pos="1701"/>
        </w:tabs>
        <w:rPr>
          <w:rFonts w:cs="Arial"/>
          <w:sz w:val="16"/>
          <w:szCs w:val="16"/>
          <w:lang w:eastAsia="es-ES"/>
        </w:rPr>
      </w:pPr>
    </w:p>
    <w:p w14:paraId="6F7ECF0C" w14:textId="77777777" w:rsidR="007479EE" w:rsidRDefault="007479EE" w:rsidP="007479EE">
      <w:pPr>
        <w:pStyle w:val="Ttulo2"/>
        <w:spacing w:before="0" w:after="0"/>
        <w:rPr>
          <w:rFonts w:cs="Arial"/>
          <w:sz w:val="16"/>
          <w:szCs w:val="16"/>
          <w:lang w:eastAsia="es-ES"/>
        </w:rPr>
      </w:pPr>
      <w:bookmarkStart w:id="10" w:name="_Toc3399974"/>
      <w:r>
        <w:rPr>
          <w:rFonts w:cs="Arial"/>
          <w:sz w:val="16"/>
          <w:szCs w:val="16"/>
          <w:lang w:eastAsia="es-ES"/>
        </w:rPr>
        <w:t>1.4. Factor de Crédito</w:t>
      </w:r>
      <w:bookmarkEnd w:id="10"/>
      <w:r>
        <w:rPr>
          <w:rFonts w:cs="Arial"/>
          <w:sz w:val="16"/>
          <w:szCs w:val="16"/>
          <w:lang w:eastAsia="es-ES"/>
        </w:rPr>
        <w:t xml:space="preserve"> </w:t>
      </w:r>
    </w:p>
    <w:p w14:paraId="6ED9E183" w14:textId="77777777" w:rsidR="007479EE" w:rsidRDefault="007479EE" w:rsidP="007479EE">
      <w:pPr>
        <w:tabs>
          <w:tab w:val="left" w:pos="426"/>
        </w:tabs>
        <w:ind w:left="360"/>
        <w:rPr>
          <w:rFonts w:cs="Arial"/>
          <w:snapToGrid w:val="0"/>
          <w:sz w:val="16"/>
          <w:szCs w:val="16"/>
        </w:rPr>
      </w:pPr>
    </w:p>
    <w:p w14:paraId="37AD5CFF" w14:textId="5BEE2FFF" w:rsidR="007479EE" w:rsidRDefault="007479EE" w:rsidP="008E220E">
      <w:pPr>
        <w:pBdr>
          <w:left w:val="single" w:sz="4" w:space="4" w:color="auto"/>
        </w:pBdr>
        <w:tabs>
          <w:tab w:val="left" w:pos="851"/>
          <w:tab w:val="left" w:pos="1701"/>
        </w:tabs>
        <w:rPr>
          <w:rFonts w:cs="Arial"/>
          <w:sz w:val="16"/>
          <w:szCs w:val="16"/>
          <w:lang w:eastAsia="es-ES"/>
        </w:rPr>
      </w:pPr>
      <w:r>
        <w:rPr>
          <w:rFonts w:cs="Arial"/>
          <w:sz w:val="16"/>
          <w:szCs w:val="16"/>
          <w:lang w:eastAsia="es-ES"/>
        </w:rPr>
        <w:t xml:space="preserve">El Factor de Crédito (FC) es un porcentaje que refleja la variación máxima probable en el valor razonable de un instrumento financiero derivado, como consecuencia de variaciones en el valor del subyacente </w:t>
      </w:r>
      <w:r w:rsidRPr="00FF4F19">
        <w:rPr>
          <w:rFonts w:cs="Arial"/>
          <w:bCs/>
          <w:sz w:val="16"/>
          <w:szCs w:val="16"/>
          <w:lang w:eastAsia="es-ES"/>
        </w:rPr>
        <w:t>principal del</w:t>
      </w:r>
      <w:r>
        <w:rPr>
          <w:rFonts w:cs="Arial"/>
          <w:sz w:val="16"/>
          <w:szCs w:val="16"/>
          <w:lang w:eastAsia="es-ES"/>
        </w:rPr>
        <w:t xml:space="preserve"> contrato</w:t>
      </w:r>
      <w:r w:rsidR="00755067">
        <w:rPr>
          <w:rFonts w:cs="Arial"/>
          <w:sz w:val="16"/>
          <w:szCs w:val="16"/>
          <w:lang w:eastAsia="es-ES"/>
        </w:rPr>
        <w:t>.</w:t>
      </w:r>
    </w:p>
    <w:p w14:paraId="10D5669A" w14:textId="77777777" w:rsidR="007479EE" w:rsidRDefault="007479EE" w:rsidP="007479EE">
      <w:pPr>
        <w:tabs>
          <w:tab w:val="left" w:pos="851"/>
          <w:tab w:val="left" w:pos="1701"/>
        </w:tabs>
        <w:rPr>
          <w:rFonts w:cs="Arial"/>
          <w:sz w:val="16"/>
          <w:szCs w:val="16"/>
          <w:lang w:eastAsia="es-ES"/>
        </w:rPr>
      </w:pPr>
    </w:p>
    <w:p w14:paraId="65CDCBC1" w14:textId="1A65EE7A" w:rsidR="007479EE" w:rsidRPr="0025589E" w:rsidRDefault="007479EE" w:rsidP="0070039E">
      <w:pPr>
        <w:pBdr>
          <w:left w:val="single" w:sz="4" w:space="4" w:color="auto"/>
        </w:pBdr>
        <w:tabs>
          <w:tab w:val="left" w:pos="851"/>
          <w:tab w:val="left" w:pos="1701"/>
        </w:tabs>
        <w:rPr>
          <w:rFonts w:cs="Arial"/>
          <w:bCs/>
          <w:sz w:val="16"/>
          <w:szCs w:val="16"/>
          <w:lang w:val="es-ES" w:eastAsia="es-ES"/>
        </w:rPr>
      </w:pPr>
      <w:r w:rsidRPr="0025589E">
        <w:rPr>
          <w:rFonts w:cs="Arial"/>
          <w:bCs/>
          <w:sz w:val="16"/>
          <w:szCs w:val="16"/>
          <w:lang w:eastAsia="es-ES"/>
        </w:rPr>
        <w:t xml:space="preserve">El FC para aplicar de acuerdo con el tipo de subyacente y el plazo remanente de cada instrumento financiero derivado </w:t>
      </w:r>
      <w:r w:rsidR="00ED5413">
        <w:rPr>
          <w:rFonts w:cs="Arial"/>
          <w:bCs/>
          <w:sz w:val="16"/>
          <w:szCs w:val="16"/>
          <w:lang w:val="es-ES" w:eastAsia="es-ES"/>
        </w:rPr>
        <w:t>se define como</w:t>
      </w:r>
      <w:r w:rsidRPr="0025589E">
        <w:rPr>
          <w:rFonts w:cs="Arial"/>
          <w:bCs/>
          <w:sz w:val="16"/>
          <w:szCs w:val="16"/>
          <w:lang w:val="es-ES" w:eastAsia="es-ES"/>
        </w:rPr>
        <w:t xml:space="preserve">: </w:t>
      </w:r>
    </w:p>
    <w:p w14:paraId="230E9297" w14:textId="77777777" w:rsidR="007479EE" w:rsidRPr="0025589E" w:rsidRDefault="007479EE" w:rsidP="007479EE">
      <w:pPr>
        <w:tabs>
          <w:tab w:val="left" w:pos="851"/>
          <w:tab w:val="left" w:pos="1701"/>
        </w:tabs>
        <w:rPr>
          <w:rFonts w:cs="Arial"/>
          <w:bCs/>
          <w:sz w:val="16"/>
          <w:szCs w:val="16"/>
          <w:lang w:val="es-ES" w:eastAsia="es-ES"/>
        </w:rPr>
      </w:pPr>
    </w:p>
    <w:p w14:paraId="011A7EC8" w14:textId="7F824FBE" w:rsidR="007479EE" w:rsidRPr="0025589E" w:rsidRDefault="007479EE" w:rsidP="00A627F9">
      <w:pPr>
        <w:pBdr>
          <w:left w:val="single" w:sz="4" w:space="4" w:color="auto"/>
        </w:pBdr>
        <w:tabs>
          <w:tab w:val="left" w:pos="851"/>
          <w:tab w:val="left" w:pos="1701"/>
        </w:tabs>
        <w:jc w:val="center"/>
        <w:rPr>
          <w:rFonts w:cs="Arial"/>
          <w:bCs/>
          <w:sz w:val="16"/>
          <w:szCs w:val="16"/>
          <w:lang w:val="es-CO" w:eastAsia="es-ES"/>
        </w:rPr>
      </w:pPr>
      <w:r w:rsidRPr="0025589E">
        <w:rPr>
          <w:rFonts w:cs="Arial"/>
          <w:bCs/>
          <w:sz w:val="16"/>
          <w:szCs w:val="16"/>
          <w:lang w:val="pt-BR" w:eastAsia="es-ES"/>
        </w:rPr>
        <w:t>FC</w:t>
      </w:r>
      <w:r w:rsidRPr="0025589E">
        <w:rPr>
          <w:rFonts w:cs="Arial"/>
          <w:bCs/>
          <w:sz w:val="16"/>
          <w:szCs w:val="16"/>
          <w:lang w:val="es-CO" w:eastAsia="es-ES"/>
        </w:rPr>
        <w:t xml:space="preserve"> = </w:t>
      </w:r>
      <w:r w:rsidR="001456BF">
        <w:rPr>
          <w:rFonts w:cs="Arial"/>
          <w:bCs/>
          <w:sz w:val="16"/>
          <w:szCs w:val="16"/>
          <w:lang w:val="es-CO" w:eastAsia="es-ES"/>
        </w:rPr>
        <w:t xml:space="preserve">volatilidad </w:t>
      </w:r>
      <w:r w:rsidR="001456BF" w:rsidRPr="00A627F9">
        <w:rPr>
          <w:rFonts w:cs="Arial"/>
          <w:b/>
          <w:sz w:val="16"/>
          <w:szCs w:val="16"/>
          <w:lang w:val="es-CO" w:eastAsia="es-ES"/>
        </w:rPr>
        <w:t>anual</w:t>
      </w:r>
      <w:r w:rsidR="004660FB" w:rsidRPr="00A627F9">
        <w:rPr>
          <w:rFonts w:cs="Arial"/>
          <w:b/>
          <w:sz w:val="16"/>
          <w:szCs w:val="16"/>
          <w:lang w:val="es-CO" w:eastAsia="es-ES"/>
        </w:rPr>
        <w:t>izada</w:t>
      </w:r>
      <w:r w:rsidR="001456BF">
        <w:rPr>
          <w:rFonts w:cs="Arial"/>
          <w:bCs/>
          <w:sz w:val="16"/>
          <w:szCs w:val="16"/>
          <w:lang w:val="es-CO" w:eastAsia="es-ES"/>
        </w:rPr>
        <w:t xml:space="preserve"> </w:t>
      </w:r>
      <w:r w:rsidR="00EE0F54">
        <w:rPr>
          <w:rFonts w:cs="Arial"/>
          <w:bCs/>
          <w:sz w:val="16"/>
          <w:szCs w:val="16"/>
          <w:lang w:val="es-CO" w:eastAsia="es-ES"/>
        </w:rPr>
        <w:t>estresada</w:t>
      </w:r>
      <w:r w:rsidR="00ED5413">
        <w:rPr>
          <w:rFonts w:cs="Arial"/>
          <w:bCs/>
          <w:sz w:val="16"/>
          <w:szCs w:val="16"/>
          <w:lang w:val="es-CO" w:eastAsia="es-ES"/>
        </w:rPr>
        <w:t xml:space="preserve"> del subyacente </w:t>
      </w:r>
    </w:p>
    <w:p w14:paraId="707E5C8D" w14:textId="77777777" w:rsidR="007479EE" w:rsidRPr="0025589E" w:rsidRDefault="007479EE" w:rsidP="007479EE">
      <w:pPr>
        <w:tabs>
          <w:tab w:val="left" w:pos="851"/>
          <w:tab w:val="left" w:pos="1701"/>
        </w:tabs>
        <w:rPr>
          <w:rFonts w:cs="Arial"/>
          <w:bCs/>
          <w:sz w:val="16"/>
          <w:szCs w:val="16"/>
          <w:lang w:val="es-CO" w:eastAsia="es-ES"/>
        </w:rPr>
      </w:pPr>
    </w:p>
    <w:p w14:paraId="3AB17945" w14:textId="13AFC87B" w:rsidR="007479EE" w:rsidRPr="0025589E" w:rsidRDefault="007479EE" w:rsidP="00A627F9">
      <w:pPr>
        <w:pBdr>
          <w:left w:val="single" w:sz="4" w:space="4" w:color="auto"/>
        </w:pBdr>
        <w:tabs>
          <w:tab w:val="left" w:pos="851"/>
          <w:tab w:val="left" w:pos="1701"/>
        </w:tabs>
        <w:rPr>
          <w:rFonts w:cs="Arial"/>
          <w:bCs/>
          <w:sz w:val="16"/>
          <w:szCs w:val="16"/>
          <w:lang w:val="es-CO" w:eastAsia="es-ES"/>
        </w:rPr>
      </w:pPr>
      <w:r w:rsidRPr="0025589E">
        <w:rPr>
          <w:rFonts w:cs="Arial"/>
          <w:bCs/>
          <w:sz w:val="16"/>
          <w:szCs w:val="16"/>
          <w:lang w:val="es-CO" w:eastAsia="es-ES"/>
        </w:rPr>
        <w:t xml:space="preserve">1.4.1. Volatilidad </w:t>
      </w:r>
      <w:r w:rsidR="00164D63" w:rsidRPr="00A627F9">
        <w:rPr>
          <w:rFonts w:cs="Arial"/>
          <w:b/>
          <w:sz w:val="16"/>
          <w:szCs w:val="16"/>
          <w:lang w:val="es-CO" w:eastAsia="es-ES"/>
        </w:rPr>
        <w:t>anualizada</w:t>
      </w:r>
      <w:r w:rsidRPr="0025589E">
        <w:rPr>
          <w:rFonts w:cs="Arial"/>
          <w:bCs/>
          <w:sz w:val="16"/>
          <w:szCs w:val="16"/>
          <w:lang w:val="es-CO" w:eastAsia="es-ES"/>
        </w:rPr>
        <w:t xml:space="preserve"> estresada</w:t>
      </w:r>
    </w:p>
    <w:p w14:paraId="45862E99" w14:textId="77777777" w:rsidR="007479EE" w:rsidRDefault="007479EE" w:rsidP="007479EE">
      <w:pPr>
        <w:tabs>
          <w:tab w:val="left" w:pos="851"/>
          <w:tab w:val="left" w:pos="1701"/>
        </w:tabs>
        <w:rPr>
          <w:rFonts w:cs="Arial"/>
          <w:b/>
          <w:sz w:val="16"/>
          <w:szCs w:val="16"/>
          <w:lang w:val="es-CO" w:eastAsia="es-ES"/>
        </w:rPr>
      </w:pPr>
    </w:p>
    <w:p w14:paraId="47B677F3" w14:textId="5D071FE5" w:rsidR="007479EE" w:rsidRPr="00BC35A0" w:rsidRDefault="007479EE" w:rsidP="007479EE">
      <w:pPr>
        <w:pBdr>
          <w:left w:val="single" w:sz="4" w:space="4" w:color="auto"/>
        </w:pBdr>
        <w:tabs>
          <w:tab w:val="left" w:pos="851"/>
          <w:tab w:val="left" w:pos="1701"/>
        </w:tabs>
        <w:rPr>
          <w:rFonts w:cs="Arial"/>
          <w:bCs/>
          <w:sz w:val="16"/>
          <w:szCs w:val="16"/>
          <w:lang w:val="es-CO" w:eastAsia="es-ES"/>
        </w:rPr>
      </w:pPr>
      <w:r w:rsidRPr="00BC35A0">
        <w:rPr>
          <w:rFonts w:cs="Arial"/>
          <w:bCs/>
          <w:sz w:val="16"/>
          <w:szCs w:val="16"/>
          <w:lang w:val="es-CO" w:eastAsia="es-ES"/>
        </w:rPr>
        <w:t xml:space="preserve">1.4.1.1. La volatilidad </w:t>
      </w:r>
      <w:r w:rsidR="00DC37CB" w:rsidRPr="00BC35A0">
        <w:rPr>
          <w:rFonts w:cs="Arial"/>
          <w:b/>
          <w:sz w:val="16"/>
          <w:szCs w:val="16"/>
          <w:lang w:val="es-CO" w:eastAsia="es-ES"/>
        </w:rPr>
        <w:t>anual</w:t>
      </w:r>
      <w:r w:rsidR="00DD6A4D" w:rsidRPr="00BC35A0">
        <w:rPr>
          <w:rFonts w:cs="Arial"/>
          <w:b/>
          <w:sz w:val="16"/>
          <w:szCs w:val="16"/>
          <w:lang w:val="es-CO" w:eastAsia="es-ES"/>
        </w:rPr>
        <w:t>izada</w:t>
      </w:r>
      <w:r w:rsidR="00DC37CB" w:rsidRPr="00BC35A0">
        <w:rPr>
          <w:rFonts w:cs="Arial"/>
          <w:bCs/>
          <w:sz w:val="16"/>
          <w:szCs w:val="16"/>
          <w:lang w:val="es-CO" w:eastAsia="es-ES"/>
        </w:rPr>
        <w:t xml:space="preserve"> estresada</w:t>
      </w:r>
      <w:r w:rsidRPr="00BC35A0">
        <w:rPr>
          <w:rFonts w:cs="Arial"/>
          <w:bCs/>
          <w:sz w:val="16"/>
          <w:szCs w:val="16"/>
          <w:lang w:val="es-CO" w:eastAsia="es-ES"/>
        </w:rPr>
        <w:t xml:space="preserve"> corresponde a la volatilidad del tipo de subyacente suministrada por el proveedor de precios designado como oficial por la entidad. Estas volatilidades deben ser calculadas por los proveedores de precios según la metodología definida para cada subyacente, la cual debe incorporar un nivel de confianza de mínimo 99%, basarse en estándares de mercado de amplio reconocimiento a nivel internacional, considerando como mínimo un periodo de tiempo que incluya un periodo de crisis para el subyacente. </w:t>
      </w:r>
    </w:p>
    <w:p w14:paraId="3E249359" w14:textId="77777777" w:rsidR="007479EE" w:rsidRDefault="007479EE" w:rsidP="007479EE">
      <w:pPr>
        <w:tabs>
          <w:tab w:val="left" w:pos="851"/>
          <w:tab w:val="left" w:pos="1701"/>
        </w:tabs>
        <w:rPr>
          <w:rFonts w:cs="Arial"/>
          <w:b/>
          <w:sz w:val="16"/>
          <w:szCs w:val="16"/>
          <w:lang w:val="es-CO" w:eastAsia="es-ES"/>
        </w:rPr>
      </w:pPr>
    </w:p>
    <w:p w14:paraId="30D1CC8E" w14:textId="79B04D07" w:rsidR="00F62D29" w:rsidRPr="00764E8E" w:rsidRDefault="007479EE" w:rsidP="00764E8E">
      <w:pPr>
        <w:pBdr>
          <w:left w:val="single" w:sz="4" w:space="4" w:color="auto"/>
        </w:pBdr>
        <w:tabs>
          <w:tab w:val="left" w:pos="851"/>
          <w:tab w:val="left" w:pos="1701"/>
        </w:tabs>
        <w:rPr>
          <w:rFonts w:cs="Arial"/>
          <w:bCs/>
          <w:sz w:val="16"/>
          <w:szCs w:val="16"/>
          <w:lang w:val="es-CO" w:eastAsia="es-ES"/>
        </w:rPr>
        <w:sectPr w:rsidR="00F62D29" w:rsidRPr="00764E8E" w:rsidSect="007479EE">
          <w:headerReference w:type="default" r:id="rId20"/>
          <w:pgSz w:w="12242" w:h="18711" w:code="166"/>
          <w:pgMar w:top="1701" w:right="1701" w:bottom="1701" w:left="1701" w:header="680" w:footer="1076" w:gutter="0"/>
          <w:paperSrc w:first="3" w:other="3"/>
          <w:pgNumType w:start="20"/>
          <w:cols w:space="720"/>
          <w:noEndnote/>
          <w:docGrid w:linePitch="326"/>
        </w:sectPr>
      </w:pPr>
      <w:r w:rsidRPr="00D572F8">
        <w:rPr>
          <w:rFonts w:cs="Arial"/>
          <w:bCs/>
          <w:sz w:val="16"/>
          <w:szCs w:val="16"/>
          <w:lang w:val="es-CO" w:eastAsia="es-ES"/>
        </w:rPr>
        <w:t xml:space="preserve">Los proveedores de precios pueden </w:t>
      </w:r>
      <w:r w:rsidR="008E0B3C">
        <w:rPr>
          <w:rFonts w:cs="Arial"/>
          <w:bCs/>
          <w:sz w:val="16"/>
          <w:szCs w:val="16"/>
          <w:lang w:val="es-CO" w:eastAsia="es-ES"/>
        </w:rPr>
        <w:t>definir categorías</w:t>
      </w:r>
      <w:r w:rsidRPr="00D572F8">
        <w:rPr>
          <w:rFonts w:cs="Arial"/>
          <w:bCs/>
          <w:sz w:val="16"/>
          <w:szCs w:val="16"/>
          <w:lang w:val="es-CO" w:eastAsia="es-ES"/>
        </w:rPr>
        <w:t xml:space="preserve"> de subyacente distint</w:t>
      </w:r>
      <w:r w:rsidR="006E0359">
        <w:rPr>
          <w:rFonts w:cs="Arial"/>
          <w:bCs/>
          <w:sz w:val="16"/>
          <w:szCs w:val="16"/>
          <w:lang w:val="es-CO" w:eastAsia="es-ES"/>
        </w:rPr>
        <w:t>a</w:t>
      </w:r>
      <w:r w:rsidRPr="00D572F8">
        <w:rPr>
          <w:rFonts w:cs="Arial"/>
          <w:bCs/>
          <w:sz w:val="16"/>
          <w:szCs w:val="16"/>
          <w:lang w:val="es-CO" w:eastAsia="es-ES"/>
        </w:rPr>
        <w:t>s a l</w:t>
      </w:r>
      <w:r w:rsidR="006E0359">
        <w:rPr>
          <w:rFonts w:cs="Arial"/>
          <w:bCs/>
          <w:sz w:val="16"/>
          <w:szCs w:val="16"/>
          <w:lang w:val="es-CO" w:eastAsia="es-ES"/>
        </w:rPr>
        <w:t>a</w:t>
      </w:r>
      <w:r w:rsidRPr="00D572F8">
        <w:rPr>
          <w:rFonts w:cs="Arial"/>
          <w:bCs/>
          <w:sz w:val="16"/>
          <w:szCs w:val="16"/>
          <w:lang w:val="es-CO" w:eastAsia="es-ES"/>
        </w:rPr>
        <w:t>s establecid</w:t>
      </w:r>
      <w:r w:rsidR="006E0359">
        <w:rPr>
          <w:rFonts w:cs="Arial"/>
          <w:bCs/>
          <w:sz w:val="16"/>
          <w:szCs w:val="16"/>
          <w:lang w:val="es-CO" w:eastAsia="es-ES"/>
        </w:rPr>
        <w:t>a</w:t>
      </w:r>
      <w:r w:rsidRPr="00D572F8">
        <w:rPr>
          <w:rFonts w:cs="Arial"/>
          <w:bCs/>
          <w:sz w:val="16"/>
          <w:szCs w:val="16"/>
          <w:lang w:val="es-CO" w:eastAsia="es-ES"/>
        </w:rPr>
        <w:t>s en el subnumeral 1.4.1.2. del presente Capítulo</w:t>
      </w:r>
      <w:r w:rsidR="006E0359">
        <w:rPr>
          <w:rFonts w:cs="Arial"/>
          <w:bCs/>
          <w:sz w:val="16"/>
          <w:szCs w:val="16"/>
          <w:lang w:val="es-CO" w:eastAsia="es-ES"/>
        </w:rPr>
        <w:t xml:space="preserve"> y calcular volatilidades para cada una de ellas</w:t>
      </w:r>
      <w:r w:rsidRPr="00D572F8">
        <w:rPr>
          <w:rFonts w:cs="Arial"/>
          <w:bCs/>
          <w:sz w:val="16"/>
          <w:szCs w:val="16"/>
          <w:lang w:val="es-CO" w:eastAsia="es-ES"/>
        </w:rPr>
        <w:t>. Asimismo, pueden calcular volatilidades que incorporen el efecto del plazo remanente, para lo cual la metodología debe detallar el proceso para que las entidades calculen el FC según el plazo remanente de los instrumentos.</w:t>
      </w:r>
      <w:r w:rsidR="00764E8E">
        <w:rPr>
          <w:rFonts w:cs="Arial"/>
          <w:bCs/>
          <w:sz w:val="16"/>
          <w:szCs w:val="16"/>
          <w:lang w:val="es-CO" w:eastAsia="es-ES"/>
        </w:rPr>
        <w:t xml:space="preserve"> </w:t>
      </w:r>
      <w:r w:rsidR="00B361E6">
        <w:rPr>
          <w:rFonts w:cs="Arial"/>
          <w:b/>
          <w:sz w:val="16"/>
          <w:szCs w:val="16"/>
          <w:lang w:val="es-CO" w:eastAsia="es-ES"/>
        </w:rPr>
        <w:t xml:space="preserve">Sin perjuicio de lo anterior, </w:t>
      </w:r>
      <w:r w:rsidR="00D52F2C">
        <w:rPr>
          <w:rFonts w:cs="Arial"/>
          <w:b/>
          <w:sz w:val="16"/>
          <w:szCs w:val="16"/>
          <w:lang w:val="es-CO" w:eastAsia="es-ES"/>
        </w:rPr>
        <w:t xml:space="preserve"> debe ser entregada como una volatilidad anualizada estresada para el cómputo de las EPF y </w:t>
      </w:r>
      <w:proofErr w:type="spellStart"/>
      <w:r w:rsidR="00D52F2C">
        <w:rPr>
          <w:rFonts w:cs="Arial"/>
          <w:b/>
          <w:sz w:val="16"/>
          <w:szCs w:val="16"/>
          <w:lang w:val="es-CO" w:eastAsia="es-ES"/>
        </w:rPr>
        <w:t>EPFp</w:t>
      </w:r>
      <w:proofErr w:type="spellEnd"/>
      <w:r w:rsidR="00D52F2C">
        <w:rPr>
          <w:rFonts w:cs="Arial"/>
          <w:b/>
          <w:sz w:val="16"/>
          <w:szCs w:val="16"/>
          <w:lang w:val="es-CO" w:eastAsia="es-ES"/>
        </w:rPr>
        <w:t xml:space="preserve">, según corresponda. </w:t>
      </w:r>
    </w:p>
    <w:p w14:paraId="4DFB2FE8" w14:textId="77777777" w:rsidR="007479EE" w:rsidRDefault="007479EE" w:rsidP="007479EE">
      <w:pPr>
        <w:tabs>
          <w:tab w:val="left" w:pos="851"/>
          <w:tab w:val="left" w:pos="1701"/>
        </w:tabs>
        <w:rPr>
          <w:rFonts w:cs="Arial"/>
          <w:b/>
          <w:sz w:val="16"/>
          <w:szCs w:val="16"/>
          <w:lang w:val="es-CO" w:eastAsia="es-ES"/>
        </w:rPr>
      </w:pPr>
    </w:p>
    <w:p w14:paraId="3869BDEF" w14:textId="5F2FFA03" w:rsidR="007479EE" w:rsidRPr="009447F9" w:rsidRDefault="007479EE" w:rsidP="6DB21216">
      <w:pPr>
        <w:pBdr>
          <w:left w:val="single" w:sz="4" w:space="4" w:color="auto"/>
        </w:pBdr>
        <w:tabs>
          <w:tab w:val="left" w:pos="851"/>
          <w:tab w:val="left" w:pos="1701"/>
        </w:tabs>
        <w:rPr>
          <w:rFonts w:cs="Arial"/>
          <w:sz w:val="16"/>
          <w:szCs w:val="16"/>
          <w:lang w:val="es-ES" w:eastAsia="es-ES"/>
        </w:rPr>
      </w:pPr>
      <w:r w:rsidRPr="009447F9">
        <w:rPr>
          <w:rFonts w:cs="Arial"/>
          <w:sz w:val="16"/>
          <w:szCs w:val="16"/>
          <w:lang w:val="es-ES" w:eastAsia="es-ES"/>
        </w:rPr>
        <w:t xml:space="preserve">1.4.1.2. Cuando el proveedor de precios oficial no suministre la volatilidad </w:t>
      </w:r>
      <w:r w:rsidRPr="009447F9">
        <w:rPr>
          <w:rFonts w:cs="Arial"/>
          <w:b/>
          <w:bCs/>
          <w:sz w:val="16"/>
          <w:szCs w:val="16"/>
          <w:lang w:val="es-ES" w:eastAsia="es-ES"/>
        </w:rPr>
        <w:t>anualizada</w:t>
      </w:r>
      <w:r w:rsidRPr="009447F9">
        <w:rPr>
          <w:rFonts w:cs="Arial"/>
          <w:sz w:val="16"/>
          <w:szCs w:val="16"/>
          <w:lang w:val="es-ES" w:eastAsia="es-ES"/>
        </w:rPr>
        <w:t xml:space="preserve"> estresada del subyacente, la entidad podrá utilizar la suministrada por otro proveedor de precios. </w:t>
      </w:r>
    </w:p>
    <w:p w14:paraId="4BA84DD2" w14:textId="77777777" w:rsidR="007479EE" w:rsidRPr="00B452C7" w:rsidRDefault="007479EE" w:rsidP="00B452C7">
      <w:pPr>
        <w:tabs>
          <w:tab w:val="left" w:pos="851"/>
          <w:tab w:val="left" w:pos="1701"/>
        </w:tabs>
        <w:rPr>
          <w:rFonts w:cs="Arial"/>
          <w:bCs/>
          <w:sz w:val="16"/>
          <w:szCs w:val="16"/>
          <w:lang w:val="es-ES" w:eastAsia="es-ES"/>
        </w:rPr>
      </w:pPr>
    </w:p>
    <w:p w14:paraId="12BE3C85" w14:textId="77777777" w:rsidR="007479EE" w:rsidRPr="00B452C7" w:rsidRDefault="007479EE" w:rsidP="00B452C7">
      <w:pPr>
        <w:tabs>
          <w:tab w:val="left" w:pos="851"/>
          <w:tab w:val="left" w:pos="1701"/>
        </w:tabs>
        <w:rPr>
          <w:rFonts w:cs="Arial"/>
          <w:bCs/>
          <w:sz w:val="16"/>
          <w:szCs w:val="16"/>
          <w:lang w:val="es-ES" w:eastAsia="es-ES"/>
        </w:rPr>
      </w:pPr>
      <w:r w:rsidRPr="00B452C7">
        <w:rPr>
          <w:rFonts w:cs="Arial"/>
          <w:bCs/>
          <w:sz w:val="16"/>
          <w:szCs w:val="16"/>
          <w:lang w:val="es-ES" w:eastAsia="es-ES"/>
        </w:rPr>
        <w:t>En caso de no obtener la volatilidad de los proveedores de precios, esta corresponderá a aquella publicada mensualmente en la Matriz para el Reporte Oficial de Riesgos de Mercado (</w:t>
      </w:r>
      <w:proofErr w:type="spellStart"/>
      <w:r w:rsidRPr="00B452C7">
        <w:rPr>
          <w:rFonts w:cs="Arial"/>
          <w:bCs/>
          <w:sz w:val="16"/>
          <w:szCs w:val="16"/>
          <w:lang w:val="es-ES" w:eastAsia="es-ES"/>
        </w:rPr>
        <w:t>VeR</w:t>
      </w:r>
      <w:proofErr w:type="spellEnd"/>
      <w:r w:rsidRPr="00B452C7">
        <w:rPr>
          <w:rFonts w:cs="Arial"/>
          <w:bCs/>
          <w:sz w:val="16"/>
          <w:szCs w:val="16"/>
          <w:lang w:val="es-ES" w:eastAsia="es-ES"/>
        </w:rPr>
        <w:t xml:space="preserve"> informativo), disponible en la página web de la SFC, la cual se calcula según la metodología establecida en el documento técnico ‘Metodología de cálculo de las volatilidades estresadas para el reporte oficial de riesgos de mercado’, publicado en la página web de la SFC. En este evento, los tipos de subyacente que deben tener en cuenta las entidades son:</w:t>
      </w:r>
    </w:p>
    <w:p w14:paraId="27247BE1" w14:textId="77777777" w:rsidR="007479EE" w:rsidRDefault="007479EE" w:rsidP="007479EE">
      <w:pPr>
        <w:tabs>
          <w:tab w:val="left" w:pos="851"/>
          <w:tab w:val="left" w:pos="1701"/>
        </w:tabs>
        <w:rPr>
          <w:rFonts w:cs="Arial"/>
          <w:sz w:val="16"/>
          <w:szCs w:val="16"/>
          <w:lang w:val="es-ES" w:eastAsia="es-ES"/>
        </w:rPr>
      </w:pPr>
    </w:p>
    <w:p w14:paraId="3DB13E1B" w14:textId="77777777" w:rsidR="007479EE" w:rsidRPr="009447F9" w:rsidRDefault="007479EE" w:rsidP="009447F9">
      <w:pPr>
        <w:tabs>
          <w:tab w:val="left" w:pos="450"/>
        </w:tabs>
        <w:rPr>
          <w:rFonts w:cs="Arial"/>
          <w:bCs/>
          <w:sz w:val="16"/>
          <w:szCs w:val="16"/>
          <w:lang w:val="es-ES" w:eastAsia="es-ES"/>
        </w:rPr>
      </w:pPr>
      <w:r w:rsidRPr="009447F9">
        <w:rPr>
          <w:rFonts w:cs="Arial"/>
          <w:bCs/>
          <w:sz w:val="16"/>
          <w:szCs w:val="16"/>
          <w:lang w:val="es-ES" w:eastAsia="es-ES"/>
        </w:rPr>
        <w:t>a)</w:t>
      </w:r>
      <w:r w:rsidRPr="009447F9">
        <w:rPr>
          <w:rFonts w:cs="Arial"/>
          <w:bCs/>
          <w:sz w:val="16"/>
          <w:szCs w:val="16"/>
          <w:lang w:val="es-ES" w:eastAsia="es-ES"/>
        </w:rPr>
        <w:tab/>
        <w:t>Acciones Colombia, para acciones cuyo emisor esté calificado por debajo del nivel de inversión;</w:t>
      </w:r>
    </w:p>
    <w:p w14:paraId="53A863B4" w14:textId="77777777" w:rsidR="007479EE" w:rsidRPr="009447F9" w:rsidRDefault="007479EE" w:rsidP="009447F9">
      <w:pPr>
        <w:tabs>
          <w:tab w:val="left" w:pos="426"/>
          <w:tab w:val="left" w:pos="1701"/>
        </w:tabs>
        <w:rPr>
          <w:rFonts w:cs="Arial"/>
          <w:bCs/>
          <w:sz w:val="16"/>
          <w:szCs w:val="16"/>
          <w:lang w:val="es-ES" w:eastAsia="es-ES"/>
        </w:rPr>
      </w:pPr>
      <w:r w:rsidRPr="009447F9">
        <w:rPr>
          <w:rFonts w:cs="Arial"/>
          <w:bCs/>
          <w:sz w:val="16"/>
          <w:szCs w:val="16"/>
          <w:lang w:val="es-ES" w:eastAsia="es-ES"/>
        </w:rPr>
        <w:t>b)</w:t>
      </w:r>
      <w:r w:rsidRPr="009447F9">
        <w:rPr>
          <w:rFonts w:cs="Arial"/>
          <w:bCs/>
          <w:sz w:val="16"/>
          <w:szCs w:val="16"/>
          <w:lang w:val="es-ES" w:eastAsia="es-ES"/>
        </w:rPr>
        <w:tab/>
        <w:t>Acciones Global, para acciones cuyo emisor esté calificado como grado de inversión;</w:t>
      </w:r>
    </w:p>
    <w:p w14:paraId="7E05DEAE" w14:textId="6C5F7AD2" w:rsidR="007479EE" w:rsidRDefault="007479EE" w:rsidP="00D673AB">
      <w:pPr>
        <w:pBdr>
          <w:left w:val="single" w:sz="4" w:space="1" w:color="auto"/>
        </w:pBdr>
        <w:tabs>
          <w:tab w:val="left" w:pos="426"/>
          <w:tab w:val="left" w:pos="1701"/>
        </w:tabs>
        <w:rPr>
          <w:rFonts w:cs="Arial"/>
          <w:sz w:val="16"/>
          <w:szCs w:val="16"/>
          <w:lang w:val="es-ES" w:eastAsia="es-ES"/>
        </w:rPr>
      </w:pPr>
      <w:r>
        <w:rPr>
          <w:rFonts w:cs="Arial"/>
          <w:sz w:val="16"/>
          <w:szCs w:val="16"/>
          <w:lang w:val="es-ES" w:eastAsia="es-ES"/>
        </w:rPr>
        <w:t>c)</w:t>
      </w:r>
      <w:r>
        <w:rPr>
          <w:rFonts w:cs="Arial"/>
          <w:sz w:val="16"/>
          <w:szCs w:val="16"/>
          <w:lang w:val="es-ES" w:eastAsia="es-ES"/>
        </w:rPr>
        <w:tab/>
        <w:t>COP/ EUR, para tipo de cambio Euro – Peso</w:t>
      </w:r>
      <w:r w:rsidR="00C27CB6">
        <w:rPr>
          <w:rFonts w:cs="Arial"/>
          <w:sz w:val="16"/>
          <w:szCs w:val="16"/>
          <w:lang w:val="es-ES" w:eastAsia="es-ES"/>
        </w:rPr>
        <w:t xml:space="preserve"> </w:t>
      </w:r>
      <w:r w:rsidR="00C27CB6" w:rsidRPr="00066E8F">
        <w:rPr>
          <w:rFonts w:cs="Arial"/>
          <w:b/>
          <w:bCs/>
          <w:sz w:val="16"/>
          <w:szCs w:val="16"/>
          <w:lang w:val="es-ES" w:eastAsia="es-ES"/>
        </w:rPr>
        <w:t>(incluido en la categoría de neteo 4 definida en el subnumeral 1.2)</w:t>
      </w:r>
      <w:r w:rsidRPr="00066E8F">
        <w:rPr>
          <w:rFonts w:cs="Arial"/>
          <w:b/>
          <w:bCs/>
          <w:sz w:val="16"/>
          <w:szCs w:val="16"/>
          <w:lang w:val="es-ES" w:eastAsia="es-ES"/>
        </w:rPr>
        <w:t>;</w:t>
      </w:r>
      <w:r>
        <w:rPr>
          <w:rFonts w:cs="Arial"/>
          <w:sz w:val="16"/>
          <w:szCs w:val="16"/>
          <w:lang w:val="es-ES" w:eastAsia="es-ES"/>
        </w:rPr>
        <w:t xml:space="preserve"> </w:t>
      </w:r>
    </w:p>
    <w:p w14:paraId="6062553D" w14:textId="2C244623" w:rsidR="002328CE" w:rsidRPr="000B0B0B" w:rsidRDefault="007479EE" w:rsidP="00D673AB">
      <w:pPr>
        <w:pBdr>
          <w:left w:val="single" w:sz="4" w:space="1" w:color="auto"/>
        </w:pBdr>
        <w:tabs>
          <w:tab w:val="left" w:pos="426"/>
          <w:tab w:val="left" w:pos="1701"/>
        </w:tabs>
        <w:rPr>
          <w:rFonts w:cs="Arial"/>
          <w:sz w:val="16"/>
          <w:szCs w:val="16"/>
          <w:lang w:val="es-ES" w:eastAsia="es-ES"/>
        </w:rPr>
      </w:pPr>
      <w:r>
        <w:rPr>
          <w:rFonts w:cs="Arial"/>
          <w:sz w:val="16"/>
          <w:szCs w:val="16"/>
          <w:lang w:val="es-ES" w:eastAsia="es-ES"/>
        </w:rPr>
        <w:t>d)</w:t>
      </w:r>
      <w:r>
        <w:rPr>
          <w:rFonts w:cs="Arial"/>
          <w:sz w:val="16"/>
          <w:szCs w:val="16"/>
          <w:lang w:val="es-ES" w:eastAsia="es-ES"/>
        </w:rPr>
        <w:tab/>
      </w:r>
      <w:r w:rsidRPr="000B0B0B">
        <w:rPr>
          <w:rFonts w:cs="Arial"/>
          <w:sz w:val="16"/>
          <w:szCs w:val="16"/>
          <w:lang w:val="es-ES" w:eastAsia="es-ES"/>
        </w:rPr>
        <w:t>TRM, para tipo de cambio diferente a Euro</w:t>
      </w:r>
      <w:r w:rsidR="00D673AB">
        <w:rPr>
          <w:rFonts w:cs="Arial"/>
          <w:sz w:val="16"/>
          <w:szCs w:val="16"/>
          <w:lang w:val="es-ES" w:eastAsia="es-ES"/>
        </w:rPr>
        <w:t xml:space="preserve"> </w:t>
      </w:r>
      <w:r w:rsidRPr="000B0B0B">
        <w:rPr>
          <w:rFonts w:cs="Arial"/>
          <w:sz w:val="16"/>
          <w:szCs w:val="16"/>
          <w:lang w:val="es-ES" w:eastAsia="es-ES"/>
        </w:rPr>
        <w:t>–</w:t>
      </w:r>
      <w:r w:rsidR="00D673AB">
        <w:rPr>
          <w:rFonts w:cs="Arial"/>
          <w:sz w:val="16"/>
          <w:szCs w:val="16"/>
          <w:lang w:val="es-ES" w:eastAsia="es-ES"/>
        </w:rPr>
        <w:t xml:space="preserve"> </w:t>
      </w:r>
      <w:r w:rsidRPr="000B0B0B">
        <w:rPr>
          <w:rFonts w:cs="Arial"/>
          <w:sz w:val="16"/>
          <w:szCs w:val="16"/>
          <w:lang w:val="es-ES" w:eastAsia="es-ES"/>
        </w:rPr>
        <w:t>Peso</w:t>
      </w:r>
      <w:r w:rsidR="0046373B">
        <w:rPr>
          <w:rFonts w:cs="Arial"/>
          <w:sz w:val="16"/>
          <w:szCs w:val="16"/>
          <w:lang w:val="es-ES" w:eastAsia="es-ES"/>
        </w:rPr>
        <w:t xml:space="preserve"> </w:t>
      </w:r>
      <w:r w:rsidR="0046373B" w:rsidRPr="00066E8F">
        <w:rPr>
          <w:rFonts w:cs="Arial"/>
          <w:b/>
          <w:bCs/>
          <w:sz w:val="16"/>
          <w:szCs w:val="16"/>
          <w:lang w:val="es-ES" w:eastAsia="es-ES"/>
        </w:rPr>
        <w:t>(incluido en la categoría de neteo 4 definida en el subnumeral 1.2)</w:t>
      </w:r>
      <w:r w:rsidRPr="00066E8F">
        <w:rPr>
          <w:rFonts w:cs="Arial"/>
          <w:b/>
          <w:bCs/>
          <w:sz w:val="16"/>
          <w:szCs w:val="16"/>
          <w:lang w:val="es-ES" w:eastAsia="es-ES"/>
        </w:rPr>
        <w:t>;</w:t>
      </w:r>
    </w:p>
    <w:p w14:paraId="74919459" w14:textId="1947C294" w:rsidR="006C1727" w:rsidRPr="0083064C" w:rsidRDefault="007479EE" w:rsidP="00D673AB">
      <w:pPr>
        <w:pBdr>
          <w:left w:val="single" w:sz="4" w:space="1" w:color="auto"/>
        </w:pBdr>
        <w:tabs>
          <w:tab w:val="left" w:pos="426"/>
        </w:tabs>
        <w:ind w:left="450" w:hanging="450"/>
        <w:rPr>
          <w:rFonts w:cs="Arial"/>
          <w:sz w:val="16"/>
          <w:szCs w:val="16"/>
          <w:lang w:val="es-ES" w:eastAsia="es-ES"/>
        </w:rPr>
      </w:pPr>
      <w:r w:rsidRPr="0083064C">
        <w:rPr>
          <w:rFonts w:cs="Arial"/>
          <w:sz w:val="16"/>
          <w:szCs w:val="16"/>
          <w:lang w:val="es-ES" w:eastAsia="es-ES"/>
        </w:rPr>
        <w:t>e)</w:t>
      </w:r>
      <w:r w:rsidRPr="0083064C">
        <w:tab/>
      </w:r>
      <w:r w:rsidRPr="0083064C">
        <w:rPr>
          <w:rFonts w:cs="Arial"/>
          <w:sz w:val="16"/>
          <w:szCs w:val="16"/>
          <w:lang w:val="es-ES" w:eastAsia="es-ES"/>
        </w:rPr>
        <w:t xml:space="preserve">Tasa de interés, para instrumentos financieros derivados sobre tasa de interés y cualquier otro subyacente sujeto a variaciones en las tasas de interés. </w:t>
      </w:r>
    </w:p>
    <w:p w14:paraId="0B7ECB02" w14:textId="57A3E37A" w:rsidR="002328CE" w:rsidRPr="002E7CB0" w:rsidRDefault="002328CE" w:rsidP="00D673AB">
      <w:pPr>
        <w:pBdr>
          <w:left w:val="single" w:sz="4" w:space="1" w:color="auto"/>
        </w:pBdr>
        <w:tabs>
          <w:tab w:val="left" w:pos="426"/>
        </w:tabs>
        <w:ind w:left="450" w:hanging="450"/>
        <w:rPr>
          <w:rFonts w:cs="Arial"/>
          <w:b/>
          <w:bCs/>
          <w:sz w:val="16"/>
          <w:szCs w:val="16"/>
          <w:lang w:val="es-ES" w:eastAsia="es-ES"/>
        </w:rPr>
      </w:pPr>
      <w:r w:rsidRPr="002E7CB0">
        <w:rPr>
          <w:rFonts w:cs="Arial"/>
          <w:b/>
          <w:bCs/>
          <w:sz w:val="16"/>
          <w:szCs w:val="16"/>
          <w:lang w:val="es-ES" w:eastAsia="es-ES"/>
        </w:rPr>
        <w:t>f)        Derivados de Crédito</w:t>
      </w:r>
      <w:r w:rsidR="00F74293">
        <w:rPr>
          <w:rFonts w:cs="Arial"/>
          <w:b/>
          <w:bCs/>
          <w:sz w:val="16"/>
          <w:szCs w:val="16"/>
          <w:lang w:val="es-ES" w:eastAsia="es-ES"/>
        </w:rPr>
        <w:t>, p</w:t>
      </w:r>
      <w:r w:rsidRPr="00127D7E">
        <w:rPr>
          <w:rFonts w:cs="Arial"/>
          <w:b/>
          <w:bCs/>
          <w:sz w:val="16"/>
          <w:szCs w:val="16"/>
          <w:lang w:val="es-ES" w:eastAsia="es-ES"/>
        </w:rPr>
        <w:t xml:space="preserve">ara derivados de crédito identificados según el presente </w:t>
      </w:r>
      <w:r w:rsidR="00956C93" w:rsidRPr="00127D7E">
        <w:rPr>
          <w:rFonts w:cs="Arial"/>
          <w:b/>
          <w:bCs/>
          <w:sz w:val="16"/>
          <w:szCs w:val="16"/>
          <w:lang w:val="es-ES" w:eastAsia="es-ES"/>
        </w:rPr>
        <w:t>Capítulo</w:t>
      </w:r>
      <w:r w:rsidRPr="00127D7E">
        <w:rPr>
          <w:rFonts w:cs="Arial"/>
          <w:b/>
          <w:bCs/>
          <w:sz w:val="16"/>
          <w:szCs w:val="16"/>
          <w:lang w:val="es-ES" w:eastAsia="es-ES"/>
        </w:rPr>
        <w:t>.</w:t>
      </w:r>
    </w:p>
    <w:p w14:paraId="42874711" w14:textId="54E8F30A" w:rsidR="006C1727" w:rsidRPr="00127D7E" w:rsidRDefault="002328CE" w:rsidP="00D673AB">
      <w:pPr>
        <w:pBdr>
          <w:left w:val="single" w:sz="4" w:space="1" w:color="auto"/>
        </w:pBdr>
        <w:tabs>
          <w:tab w:val="left" w:pos="426"/>
        </w:tabs>
        <w:ind w:left="450" w:hanging="450"/>
        <w:rPr>
          <w:rFonts w:cs="Arial"/>
          <w:b/>
          <w:bCs/>
          <w:i/>
          <w:iCs/>
          <w:sz w:val="16"/>
          <w:szCs w:val="16"/>
          <w:lang w:val="es-ES" w:eastAsia="es-ES"/>
        </w:rPr>
      </w:pPr>
      <w:r w:rsidRPr="002E7CB0">
        <w:rPr>
          <w:rFonts w:cs="Arial"/>
          <w:b/>
          <w:bCs/>
          <w:sz w:val="16"/>
          <w:szCs w:val="16"/>
          <w:lang w:val="es-ES" w:eastAsia="es-ES"/>
        </w:rPr>
        <w:t xml:space="preserve">g)       </w:t>
      </w:r>
      <w:proofErr w:type="spellStart"/>
      <w:r w:rsidRPr="002E7CB0">
        <w:rPr>
          <w:rFonts w:cs="Arial"/>
          <w:b/>
          <w:bCs/>
          <w:i/>
          <w:iCs/>
          <w:sz w:val="16"/>
          <w:szCs w:val="16"/>
          <w:lang w:val="es-ES" w:eastAsia="es-ES"/>
        </w:rPr>
        <w:t>Commodities</w:t>
      </w:r>
      <w:proofErr w:type="spellEnd"/>
      <w:r w:rsidR="00F74293">
        <w:rPr>
          <w:rFonts w:cs="Arial"/>
          <w:b/>
          <w:bCs/>
          <w:i/>
          <w:iCs/>
          <w:sz w:val="16"/>
          <w:szCs w:val="16"/>
          <w:lang w:val="es-ES" w:eastAsia="es-ES"/>
        </w:rPr>
        <w:t>,</w:t>
      </w:r>
      <w:r w:rsidRPr="002E7CB0">
        <w:rPr>
          <w:rFonts w:cs="Arial"/>
          <w:b/>
          <w:bCs/>
          <w:i/>
          <w:iCs/>
          <w:sz w:val="16"/>
          <w:szCs w:val="16"/>
          <w:lang w:val="es-ES" w:eastAsia="es-ES"/>
        </w:rPr>
        <w:t xml:space="preserve"> </w:t>
      </w:r>
      <w:r w:rsidR="00CA0118">
        <w:rPr>
          <w:rFonts w:cs="Arial"/>
          <w:b/>
          <w:bCs/>
          <w:sz w:val="16"/>
          <w:szCs w:val="16"/>
          <w:lang w:val="es-ES" w:eastAsia="es-ES"/>
        </w:rPr>
        <w:t>p</w:t>
      </w:r>
      <w:r w:rsidRPr="00127D7E">
        <w:rPr>
          <w:rFonts w:cs="Arial"/>
          <w:b/>
          <w:bCs/>
          <w:sz w:val="16"/>
          <w:szCs w:val="16"/>
          <w:lang w:val="es-ES" w:eastAsia="es-ES"/>
        </w:rPr>
        <w:t xml:space="preserve">ara derivados cuyo subyacente sean </w:t>
      </w:r>
      <w:proofErr w:type="spellStart"/>
      <w:r w:rsidR="00E337C9" w:rsidRPr="00127D7E">
        <w:rPr>
          <w:rFonts w:cs="Arial"/>
          <w:b/>
          <w:bCs/>
          <w:i/>
          <w:iCs/>
          <w:sz w:val="16"/>
          <w:szCs w:val="16"/>
          <w:lang w:val="es-ES" w:eastAsia="es-ES"/>
        </w:rPr>
        <w:t>commodities</w:t>
      </w:r>
      <w:proofErr w:type="spellEnd"/>
      <w:r w:rsidR="00E337C9" w:rsidRPr="00127D7E">
        <w:rPr>
          <w:rFonts w:cs="Arial"/>
          <w:b/>
          <w:bCs/>
          <w:sz w:val="16"/>
          <w:szCs w:val="16"/>
          <w:lang w:val="es-ES" w:eastAsia="es-ES"/>
        </w:rPr>
        <w:t xml:space="preserve"> o </w:t>
      </w:r>
      <w:r w:rsidR="002121B9" w:rsidRPr="00127D7E">
        <w:rPr>
          <w:rFonts w:cs="Arial"/>
          <w:b/>
          <w:bCs/>
          <w:sz w:val="16"/>
          <w:szCs w:val="16"/>
          <w:lang w:val="es-ES" w:eastAsia="es-ES"/>
        </w:rPr>
        <w:t xml:space="preserve">materias primas. </w:t>
      </w:r>
    </w:p>
    <w:p w14:paraId="494DADFA" w14:textId="77777777" w:rsidR="007479EE" w:rsidRDefault="007479EE" w:rsidP="00D673AB">
      <w:pPr>
        <w:pBdr>
          <w:left w:val="single" w:sz="4" w:space="1" w:color="auto"/>
        </w:pBdr>
        <w:tabs>
          <w:tab w:val="left" w:pos="426"/>
        </w:tabs>
        <w:rPr>
          <w:rFonts w:cs="Arial"/>
          <w:sz w:val="16"/>
          <w:szCs w:val="16"/>
          <w:lang w:eastAsia="es-ES"/>
        </w:rPr>
      </w:pPr>
    </w:p>
    <w:p w14:paraId="44183B7E" w14:textId="77777777" w:rsidR="007479EE" w:rsidRPr="0025589E" w:rsidRDefault="007479EE" w:rsidP="007479EE">
      <w:pPr>
        <w:tabs>
          <w:tab w:val="left" w:pos="426"/>
        </w:tabs>
        <w:rPr>
          <w:rFonts w:cs="Arial"/>
          <w:bCs/>
          <w:sz w:val="16"/>
          <w:szCs w:val="16"/>
          <w:lang w:val="es-MX" w:eastAsia="es-ES"/>
        </w:rPr>
      </w:pPr>
      <w:r w:rsidRPr="0025589E">
        <w:rPr>
          <w:rFonts w:cs="Arial"/>
          <w:bCs/>
          <w:sz w:val="16"/>
          <w:szCs w:val="16"/>
          <w:lang w:val="es-MX" w:eastAsia="es-ES"/>
        </w:rPr>
        <w:t>Estos tipos de subyacente podrán ser revisados por la SFC y podrán ser adicionados o modificados.</w:t>
      </w:r>
    </w:p>
    <w:p w14:paraId="70AF2B49" w14:textId="77777777" w:rsidR="007479EE" w:rsidRDefault="007479EE" w:rsidP="007479EE">
      <w:pPr>
        <w:tabs>
          <w:tab w:val="left" w:pos="851"/>
          <w:tab w:val="left" w:pos="1701"/>
        </w:tabs>
        <w:rPr>
          <w:rFonts w:cs="Arial"/>
          <w:sz w:val="16"/>
          <w:szCs w:val="16"/>
          <w:lang w:eastAsia="es-ES"/>
        </w:rPr>
      </w:pPr>
    </w:p>
    <w:p w14:paraId="0B1C798C" w14:textId="77777777" w:rsidR="007479EE" w:rsidRDefault="007479EE" w:rsidP="007479EE">
      <w:pPr>
        <w:tabs>
          <w:tab w:val="left" w:pos="851"/>
          <w:tab w:val="left" w:pos="1701"/>
        </w:tabs>
        <w:rPr>
          <w:rFonts w:cs="Arial"/>
          <w:sz w:val="16"/>
          <w:szCs w:val="16"/>
          <w:lang w:eastAsia="es-ES"/>
        </w:rPr>
      </w:pPr>
      <w:r>
        <w:rPr>
          <w:rFonts w:cs="Arial"/>
          <w:sz w:val="16"/>
          <w:szCs w:val="16"/>
          <w:lang w:eastAsia="es-ES"/>
        </w:rPr>
        <w:t>Para efectos de la aplicación del FC, se debe entender como operaciones con instrumentos financieros derivados de tasa de interés aquéllos en los cuales el subyacente es una tasa de interés o un título de deuda, independientemente del emisor del título y de la especie del título que se trate. Esta categoría incluye ‘swaps’ de tasa de interés en la misma moneda, ‘forward’ sobre tasas de interés, ‘forward’ sobre títulos de deuda, ‘forward’ sobre bonos nocionales y opciones compradas sobre tasa de interés negociadas en el OTC</w:t>
      </w:r>
      <w:r>
        <w:rPr>
          <w:rFonts w:cs="Arial"/>
          <w:sz w:val="16"/>
          <w:szCs w:val="16"/>
        </w:rPr>
        <w:t xml:space="preserve"> o que no sean estandarizadas</w:t>
      </w:r>
      <w:r>
        <w:rPr>
          <w:rFonts w:cs="Arial"/>
          <w:sz w:val="16"/>
          <w:szCs w:val="16"/>
          <w:lang w:eastAsia="es-ES"/>
        </w:rPr>
        <w:t>.</w:t>
      </w:r>
    </w:p>
    <w:p w14:paraId="5E6FA43C" w14:textId="77777777" w:rsidR="007479EE" w:rsidRDefault="007479EE" w:rsidP="007479EE">
      <w:pPr>
        <w:tabs>
          <w:tab w:val="left" w:pos="851"/>
          <w:tab w:val="left" w:pos="1701"/>
        </w:tabs>
        <w:rPr>
          <w:rFonts w:cs="Arial"/>
          <w:sz w:val="16"/>
          <w:szCs w:val="16"/>
          <w:lang w:eastAsia="es-ES"/>
        </w:rPr>
      </w:pPr>
    </w:p>
    <w:p w14:paraId="197D3A36" w14:textId="6B886E46" w:rsidR="009F30D1" w:rsidRDefault="007479EE" w:rsidP="00F62D29">
      <w:pPr>
        <w:tabs>
          <w:tab w:val="left" w:pos="1701"/>
        </w:tabs>
        <w:rPr>
          <w:rFonts w:cs="Arial"/>
          <w:sz w:val="16"/>
          <w:szCs w:val="16"/>
        </w:rPr>
      </w:pPr>
      <w:r>
        <w:rPr>
          <w:rFonts w:cs="Arial"/>
          <w:sz w:val="16"/>
          <w:szCs w:val="16"/>
          <w:lang w:eastAsia="es-ES"/>
        </w:rPr>
        <w:t xml:space="preserve">Para las operaciones con instrumentos financieros derivados sobre tipo de cambio, se debe aplicar el FC definido en la tabla anterior, independientemente de la divisa sobre la cual se haya estructurado cada operación. Este factor se aplica en </w:t>
      </w:r>
      <w:r w:rsidR="009F30D1">
        <w:rPr>
          <w:rFonts w:cs="Arial"/>
          <w:sz w:val="16"/>
          <w:szCs w:val="16"/>
          <w:lang w:eastAsia="es-ES"/>
        </w:rPr>
        <w:t>el caso de operaciones de ‘swaps’ sobre divisas, ‘forwards’ sobre divisas, y opciones compradas sobre divisas que se negocien en el OTC</w:t>
      </w:r>
      <w:r w:rsidR="009F30D1">
        <w:rPr>
          <w:rFonts w:cs="Arial"/>
          <w:sz w:val="16"/>
          <w:szCs w:val="16"/>
        </w:rPr>
        <w:t xml:space="preserve"> o que no sean estandarizadas</w:t>
      </w:r>
      <w:r w:rsidR="009F30D1">
        <w:rPr>
          <w:rFonts w:cs="Arial"/>
          <w:sz w:val="16"/>
          <w:szCs w:val="16"/>
          <w:lang w:eastAsia="es-ES"/>
        </w:rPr>
        <w:t>.</w:t>
      </w:r>
    </w:p>
    <w:p w14:paraId="742EE063" w14:textId="77777777" w:rsidR="009F30D1" w:rsidRDefault="009F30D1" w:rsidP="009F30D1">
      <w:pPr>
        <w:tabs>
          <w:tab w:val="left" w:pos="1701"/>
        </w:tabs>
        <w:rPr>
          <w:rFonts w:cs="Arial"/>
          <w:sz w:val="16"/>
          <w:szCs w:val="16"/>
          <w:lang w:eastAsia="es-ES"/>
        </w:rPr>
      </w:pPr>
    </w:p>
    <w:p w14:paraId="45632DB3" w14:textId="63047F91" w:rsidR="009F30D1" w:rsidRPr="008E4532" w:rsidRDefault="009F30D1" w:rsidP="008E4532">
      <w:pPr>
        <w:tabs>
          <w:tab w:val="left" w:pos="1701"/>
        </w:tabs>
        <w:rPr>
          <w:rFonts w:cs="Arial"/>
          <w:bCs/>
          <w:sz w:val="16"/>
          <w:szCs w:val="16"/>
          <w:lang w:eastAsia="es-ES"/>
        </w:rPr>
      </w:pPr>
      <w:r w:rsidRPr="008E4532">
        <w:rPr>
          <w:rFonts w:cs="Arial"/>
          <w:bCs/>
          <w:sz w:val="16"/>
          <w:szCs w:val="16"/>
          <w:lang w:eastAsia="es-ES"/>
        </w:rPr>
        <w:t xml:space="preserve">En el caso que las operaciones tengan </w:t>
      </w:r>
      <w:r w:rsidR="00B3717E" w:rsidRPr="008E4532">
        <w:rPr>
          <w:rFonts w:cs="Arial"/>
          <w:bCs/>
          <w:sz w:val="16"/>
          <w:szCs w:val="16"/>
          <w:lang w:eastAsia="es-ES"/>
        </w:rPr>
        <w:t>más</w:t>
      </w:r>
      <w:r w:rsidRPr="008E4532">
        <w:rPr>
          <w:rFonts w:cs="Arial"/>
          <w:bCs/>
          <w:sz w:val="16"/>
          <w:szCs w:val="16"/>
          <w:lang w:eastAsia="es-ES"/>
        </w:rPr>
        <w:t xml:space="preserve"> de un subyacente, para el cálculo del FC, la entidad debe analizar el comportamiento particular del instrumento con el fin de escoger el subyacente que considere como el principal determinante del riesgo de la mencionada operación.</w:t>
      </w:r>
    </w:p>
    <w:p w14:paraId="6DE617FD" w14:textId="77777777" w:rsidR="009F30D1" w:rsidRDefault="009F30D1" w:rsidP="009F30D1">
      <w:pPr>
        <w:tabs>
          <w:tab w:val="left" w:pos="851"/>
          <w:tab w:val="left" w:pos="1701"/>
        </w:tabs>
        <w:rPr>
          <w:rFonts w:cs="Arial"/>
          <w:sz w:val="16"/>
          <w:szCs w:val="16"/>
        </w:rPr>
      </w:pPr>
    </w:p>
    <w:p w14:paraId="43607D10" w14:textId="77777777" w:rsidR="00395361" w:rsidRDefault="00395361" w:rsidP="00395361">
      <w:pPr>
        <w:pBdr>
          <w:left w:val="single" w:sz="4" w:space="4" w:color="auto"/>
        </w:pBdr>
        <w:tabs>
          <w:tab w:val="left" w:pos="851"/>
          <w:tab w:val="left" w:pos="1701"/>
        </w:tabs>
        <w:rPr>
          <w:rFonts w:cs="Arial"/>
          <w:sz w:val="16"/>
          <w:szCs w:val="16"/>
        </w:rPr>
      </w:pPr>
    </w:p>
    <w:p w14:paraId="53D4D21E" w14:textId="77777777" w:rsidR="00305C9F" w:rsidRDefault="00305C9F" w:rsidP="00395361">
      <w:pPr>
        <w:pBdr>
          <w:left w:val="single" w:sz="4" w:space="4" w:color="auto"/>
        </w:pBdr>
        <w:tabs>
          <w:tab w:val="left" w:pos="851"/>
          <w:tab w:val="left" w:pos="1701"/>
        </w:tabs>
        <w:rPr>
          <w:rFonts w:cs="Arial"/>
          <w:sz w:val="16"/>
          <w:szCs w:val="16"/>
        </w:rPr>
      </w:pPr>
    </w:p>
    <w:p w14:paraId="252CE15D" w14:textId="77777777" w:rsidR="00305C9F" w:rsidRDefault="00305C9F" w:rsidP="00395361">
      <w:pPr>
        <w:pBdr>
          <w:left w:val="single" w:sz="4" w:space="4" w:color="auto"/>
        </w:pBdr>
        <w:tabs>
          <w:tab w:val="left" w:pos="851"/>
          <w:tab w:val="left" w:pos="1701"/>
        </w:tabs>
        <w:rPr>
          <w:rFonts w:cs="Arial"/>
          <w:sz w:val="16"/>
          <w:szCs w:val="16"/>
        </w:rPr>
      </w:pPr>
    </w:p>
    <w:p w14:paraId="1EA23EB7" w14:textId="77777777" w:rsidR="00305C9F" w:rsidRDefault="00305C9F" w:rsidP="00395361">
      <w:pPr>
        <w:pBdr>
          <w:left w:val="single" w:sz="4" w:space="4" w:color="auto"/>
        </w:pBdr>
        <w:tabs>
          <w:tab w:val="left" w:pos="851"/>
          <w:tab w:val="left" w:pos="1701"/>
        </w:tabs>
        <w:rPr>
          <w:rFonts w:cs="Arial"/>
          <w:sz w:val="16"/>
          <w:szCs w:val="16"/>
        </w:rPr>
      </w:pPr>
    </w:p>
    <w:p w14:paraId="04EEF506" w14:textId="77777777" w:rsidR="00305C9F" w:rsidRDefault="00305C9F" w:rsidP="00395361">
      <w:pPr>
        <w:pBdr>
          <w:left w:val="single" w:sz="4" w:space="4" w:color="auto"/>
        </w:pBdr>
        <w:tabs>
          <w:tab w:val="left" w:pos="851"/>
          <w:tab w:val="left" w:pos="1701"/>
        </w:tabs>
        <w:rPr>
          <w:rFonts w:cs="Arial"/>
          <w:sz w:val="16"/>
          <w:szCs w:val="16"/>
        </w:rPr>
      </w:pPr>
    </w:p>
    <w:p w14:paraId="0755A758" w14:textId="77777777" w:rsidR="00395361" w:rsidRDefault="00395361" w:rsidP="00395361">
      <w:pPr>
        <w:pBdr>
          <w:left w:val="single" w:sz="4" w:space="4" w:color="auto"/>
        </w:pBdr>
        <w:tabs>
          <w:tab w:val="left" w:pos="851"/>
          <w:tab w:val="left" w:pos="1701"/>
        </w:tabs>
        <w:rPr>
          <w:rFonts w:cs="Arial"/>
          <w:sz w:val="16"/>
          <w:szCs w:val="16"/>
        </w:rPr>
      </w:pPr>
    </w:p>
    <w:p w14:paraId="17C76F58" w14:textId="77777777" w:rsidR="00395361" w:rsidRDefault="00395361" w:rsidP="009F30D1">
      <w:pPr>
        <w:tabs>
          <w:tab w:val="left" w:pos="851"/>
          <w:tab w:val="left" w:pos="1701"/>
        </w:tabs>
        <w:rPr>
          <w:rFonts w:cs="Arial"/>
          <w:sz w:val="16"/>
          <w:szCs w:val="16"/>
        </w:rPr>
      </w:pPr>
    </w:p>
    <w:p w14:paraId="2F332DF6" w14:textId="77777777" w:rsidR="009F30D1" w:rsidRPr="002A4FCE" w:rsidRDefault="009F30D1" w:rsidP="0032613C">
      <w:pPr>
        <w:pStyle w:val="Ttulo2"/>
        <w:spacing w:before="0" w:after="0"/>
        <w:rPr>
          <w:rFonts w:cs="Arial"/>
          <w:b w:val="0"/>
          <w:sz w:val="16"/>
          <w:szCs w:val="16"/>
          <w:lang w:eastAsia="es-ES"/>
        </w:rPr>
      </w:pPr>
      <w:r w:rsidRPr="00E61F14">
        <w:rPr>
          <w:rFonts w:cs="Arial"/>
          <w:sz w:val="16"/>
          <w:szCs w:val="16"/>
          <w:lang w:eastAsia="es-ES"/>
        </w:rPr>
        <w:t xml:space="preserve">1.5. Exposición crediticia para operaciones </w:t>
      </w:r>
      <w:r>
        <w:rPr>
          <w:rFonts w:cs="Arial"/>
          <w:sz w:val="16"/>
          <w:szCs w:val="16"/>
          <w:lang w:eastAsia="es-ES"/>
        </w:rPr>
        <w:t xml:space="preserve">sin tener en cuenta los </w:t>
      </w:r>
      <w:r w:rsidRPr="00E61F14">
        <w:rPr>
          <w:rFonts w:cs="Arial"/>
          <w:sz w:val="16"/>
          <w:szCs w:val="16"/>
          <w:lang w:eastAsia="es-ES"/>
        </w:rPr>
        <w:t>anexos de intercambio de garantías</w:t>
      </w:r>
      <w:r>
        <w:rPr>
          <w:rFonts w:cs="Arial"/>
          <w:sz w:val="16"/>
          <w:szCs w:val="16"/>
          <w:lang w:eastAsia="es-ES"/>
        </w:rPr>
        <w:t xml:space="preserve"> </w:t>
      </w:r>
      <w:r w:rsidRPr="002A4FCE">
        <w:rPr>
          <w:rFonts w:cs="Arial"/>
          <w:sz w:val="16"/>
          <w:szCs w:val="16"/>
          <w:lang w:eastAsia="es-ES"/>
        </w:rPr>
        <w:t>u otros mitigantes de crédito.</w:t>
      </w:r>
    </w:p>
    <w:p w14:paraId="59770351" w14:textId="77777777" w:rsidR="009F30D1" w:rsidRPr="006B20B6" w:rsidRDefault="009F30D1" w:rsidP="0032613C">
      <w:pPr>
        <w:tabs>
          <w:tab w:val="left" w:pos="851"/>
          <w:tab w:val="left" w:pos="1701"/>
        </w:tabs>
        <w:rPr>
          <w:rFonts w:cs="Arial"/>
          <w:bCs/>
          <w:sz w:val="16"/>
          <w:szCs w:val="16"/>
        </w:rPr>
      </w:pPr>
    </w:p>
    <w:p w14:paraId="45C7292B" w14:textId="77777777" w:rsidR="009F30D1" w:rsidRPr="006B20B6" w:rsidRDefault="009F30D1" w:rsidP="0032613C">
      <w:pPr>
        <w:tabs>
          <w:tab w:val="left" w:pos="851"/>
          <w:tab w:val="left" w:pos="1701"/>
        </w:tabs>
        <w:rPr>
          <w:rFonts w:cs="Arial"/>
          <w:bCs/>
          <w:sz w:val="16"/>
          <w:szCs w:val="16"/>
        </w:rPr>
      </w:pPr>
      <w:r w:rsidRPr="006B20B6">
        <w:rPr>
          <w:rFonts w:cs="Arial"/>
          <w:bCs/>
          <w:sz w:val="16"/>
          <w:szCs w:val="16"/>
        </w:rPr>
        <w:t xml:space="preserve">Para el cálculo de la exposición crediticia de las operaciones o portafolios </w:t>
      </w:r>
      <w:r w:rsidRPr="006B20B6">
        <w:rPr>
          <w:rFonts w:cs="Arial"/>
          <w:bCs/>
          <w:sz w:val="16"/>
          <w:szCs w:val="16"/>
          <w:lang w:eastAsia="es-ES"/>
        </w:rPr>
        <w:t xml:space="preserve">sin tener en cuenta los </w:t>
      </w:r>
      <w:r w:rsidRPr="006B20B6">
        <w:rPr>
          <w:rFonts w:cs="Arial"/>
          <w:bCs/>
          <w:sz w:val="16"/>
          <w:szCs w:val="16"/>
        </w:rPr>
        <w:t xml:space="preserve">acuerdos de intercambio de garantías u otros mitigantes de crédito, se debe calcular </w:t>
      </w:r>
      <w:proofErr w:type="gramStart"/>
      <w:r w:rsidRPr="006B20B6">
        <w:rPr>
          <w:rFonts w:cs="Arial"/>
          <w:bCs/>
          <w:sz w:val="16"/>
          <w:szCs w:val="16"/>
        </w:rPr>
        <w:t>de acuerdo a</w:t>
      </w:r>
      <w:proofErr w:type="gramEnd"/>
      <w:r w:rsidRPr="006B20B6">
        <w:rPr>
          <w:rFonts w:cs="Arial"/>
          <w:bCs/>
          <w:sz w:val="16"/>
          <w:szCs w:val="16"/>
        </w:rPr>
        <w:t xml:space="preserve"> las instrucciones contenidas en los subnumerales 1.1, 1.2, 1.3 y 1.4 del presente Anexo, pero incluyendo para el efecto los valores definidos a continuación:</w:t>
      </w:r>
    </w:p>
    <w:p w14:paraId="0483424C" w14:textId="77777777" w:rsidR="009F30D1" w:rsidRDefault="009F30D1" w:rsidP="0032613C">
      <w:pPr>
        <w:tabs>
          <w:tab w:val="left" w:pos="851"/>
          <w:tab w:val="left" w:pos="1701"/>
        </w:tabs>
        <w:rPr>
          <w:rFonts w:cs="Arial"/>
          <w:b/>
          <w:sz w:val="16"/>
          <w:szCs w:val="16"/>
        </w:rPr>
      </w:pPr>
    </w:p>
    <w:p w14:paraId="3A9311C3" w14:textId="77777777" w:rsidR="009F30D1" w:rsidRPr="00F75617" w:rsidRDefault="009F30D1" w:rsidP="0032613C">
      <w:pPr>
        <w:tabs>
          <w:tab w:val="left" w:pos="851"/>
          <w:tab w:val="left" w:pos="1701"/>
        </w:tabs>
        <w:rPr>
          <w:rFonts w:cs="Arial"/>
          <w:bCs/>
          <w:sz w:val="16"/>
          <w:szCs w:val="16"/>
          <w:lang w:val="es-CO" w:eastAsia="es-ES"/>
        </w:rPr>
      </w:pPr>
      <w:r w:rsidRPr="00F75617">
        <w:rPr>
          <w:rFonts w:cs="Arial"/>
          <w:bCs/>
          <w:sz w:val="16"/>
          <w:szCs w:val="16"/>
          <w:lang w:val="es-CO" w:eastAsia="es-ES"/>
        </w:rPr>
        <w:t xml:space="preserve">1.5.1. No se deben tener en cuenta los parámetros TH, MTA y NICA establecidos en el acuerdo de intercambio de garantías, de tal forma que el término </w:t>
      </w:r>
      <w:r w:rsidRPr="00F75617">
        <w:rPr>
          <w:rFonts w:cs="Arial"/>
          <w:bCs/>
          <w:i/>
          <w:sz w:val="16"/>
          <w:szCs w:val="16"/>
          <w:lang w:val="es-CO" w:eastAsia="es-ES"/>
        </w:rPr>
        <w:t>(TH + MTA – NICA)</w:t>
      </w:r>
      <w:r w:rsidRPr="00F75617">
        <w:rPr>
          <w:rFonts w:cs="Arial"/>
          <w:bCs/>
          <w:sz w:val="16"/>
          <w:szCs w:val="16"/>
          <w:lang w:val="es-CO" w:eastAsia="es-ES"/>
        </w:rPr>
        <w:t xml:space="preserve"> para el cálculo del costo de reposición debe ser igual a cero (0).</w:t>
      </w:r>
    </w:p>
    <w:p w14:paraId="371D2980" w14:textId="1D296BB0" w:rsidR="009F30D1" w:rsidRDefault="00976FF7" w:rsidP="0032613C">
      <w:pPr>
        <w:tabs>
          <w:tab w:val="left" w:pos="851"/>
          <w:tab w:val="left" w:pos="1701"/>
        </w:tabs>
        <w:rPr>
          <w:rFonts w:cs="Arial"/>
          <w:b/>
          <w:sz w:val="16"/>
          <w:szCs w:val="16"/>
          <w:lang w:val="es-CO" w:eastAsia="es-ES"/>
        </w:rPr>
      </w:pPr>
      <w:r>
        <w:rPr>
          <w:rFonts w:cs="Arial"/>
          <w:b/>
          <w:noProof/>
          <w:sz w:val="16"/>
          <w:szCs w:val="16"/>
          <w:lang w:val="es-CO" w:eastAsia="es-ES"/>
        </w:rPr>
        <mc:AlternateContent>
          <mc:Choice Requires="wps">
            <w:drawing>
              <wp:anchor distT="0" distB="0" distL="114300" distR="114300" simplePos="0" relativeHeight="251670528" behindDoc="0" locked="0" layoutInCell="1" allowOverlap="1" wp14:anchorId="5914F795" wp14:editId="42FBEE0D">
                <wp:simplePos x="0" y="0"/>
                <wp:positionH relativeFrom="column">
                  <wp:posOffset>-94173</wp:posOffset>
                </wp:positionH>
                <wp:positionV relativeFrom="paragraph">
                  <wp:posOffset>95140</wp:posOffset>
                </wp:positionV>
                <wp:extent cx="0" cy="3085106"/>
                <wp:effectExtent l="0" t="0" r="38100" b="20320"/>
                <wp:wrapNone/>
                <wp:docPr id="6" name="Conector recto 6"/>
                <wp:cNvGraphicFramePr/>
                <a:graphic xmlns:a="http://schemas.openxmlformats.org/drawingml/2006/main">
                  <a:graphicData uri="http://schemas.microsoft.com/office/word/2010/wordprocessingShape">
                    <wps:wsp>
                      <wps:cNvCnPr/>
                      <wps:spPr>
                        <a:xfrm>
                          <a:off x="0" y="0"/>
                          <a:ext cx="0" cy="308510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306D37" id="Conector recto 6"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7.4pt,7.5pt" to="-7.4pt,2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" strokecolor="black [3213]" strokeweight=".5pt">
                <v:stroke joinstyle="miter"/>
              </v:line>
            </w:pict>
          </mc:Fallback>
        </mc:AlternateContent>
      </w:r>
    </w:p>
    <w:p w14:paraId="7990ECFF" w14:textId="06686AEF" w:rsidR="008B6B13" w:rsidRDefault="009F30D1" w:rsidP="00976FF7">
      <w:pPr>
        <w:tabs>
          <w:tab w:val="left" w:pos="851"/>
          <w:tab w:val="left" w:pos="1701"/>
        </w:tabs>
        <w:rPr>
          <w:rFonts w:cs="Arial"/>
          <w:b/>
          <w:sz w:val="16"/>
          <w:szCs w:val="16"/>
          <w:lang w:val="es-CO" w:eastAsia="es-ES"/>
        </w:rPr>
      </w:pPr>
      <w:r>
        <w:rPr>
          <w:rFonts w:cs="Arial"/>
          <w:b/>
          <w:sz w:val="16"/>
          <w:szCs w:val="16"/>
          <w:lang w:val="es-CO" w:eastAsia="es-ES"/>
        </w:rPr>
        <w:t xml:space="preserve">1.5.2. </w:t>
      </w:r>
      <w:r w:rsidR="008B6B13">
        <w:rPr>
          <w:rFonts w:cs="Arial"/>
          <w:b/>
          <w:sz w:val="16"/>
          <w:szCs w:val="16"/>
          <w:lang w:eastAsia="es-ES"/>
        </w:rPr>
        <w:t>Horizonte de Riesgo de Exposición Crediticia (</w:t>
      </w:r>
      <w:proofErr w:type="spellStart"/>
      <w:r w:rsidR="008B6B13">
        <w:rPr>
          <w:rFonts w:cs="Arial"/>
          <w:b/>
          <w:sz w:val="16"/>
          <w:szCs w:val="16"/>
          <w:lang w:eastAsia="es-ES"/>
        </w:rPr>
        <w:t>T</w:t>
      </w:r>
      <w:r w:rsidR="008B6B13">
        <w:rPr>
          <w:rFonts w:cs="Arial"/>
          <w:b/>
          <w:sz w:val="16"/>
          <w:szCs w:val="16"/>
          <w:vertAlign w:val="subscript"/>
          <w:lang w:eastAsia="es-ES"/>
        </w:rPr>
        <w:t>d</w:t>
      </w:r>
      <w:proofErr w:type="spellEnd"/>
      <w:r w:rsidR="008B6B13">
        <w:rPr>
          <w:rFonts w:cs="Arial"/>
          <w:b/>
          <w:sz w:val="16"/>
          <w:szCs w:val="16"/>
          <w:lang w:eastAsia="es-ES"/>
        </w:rPr>
        <w:t>) en días hábiles</w:t>
      </w:r>
      <w:r w:rsidR="0063027D">
        <w:rPr>
          <w:rFonts w:cs="Arial"/>
          <w:b/>
          <w:sz w:val="16"/>
          <w:szCs w:val="16"/>
          <w:lang w:eastAsia="es-ES"/>
        </w:rPr>
        <w:t xml:space="preserve">, </w:t>
      </w:r>
      <w:r w:rsidR="0063027D" w:rsidRPr="002D2275">
        <w:rPr>
          <w:rFonts w:cs="Arial"/>
          <w:b/>
          <w:bCs/>
          <w:sz w:val="16"/>
          <w:szCs w:val="16"/>
          <w:lang w:eastAsia="es-ES"/>
        </w:rPr>
        <w:t>para operaciones sin tener en cuenta los anexos de intercambio de garantías u otros mitigantes de crédito.</w:t>
      </w:r>
    </w:p>
    <w:p w14:paraId="53F98364" w14:textId="0CBF1740" w:rsidR="008B6B13" w:rsidRDefault="008B6B13" w:rsidP="00976FF7">
      <w:pPr>
        <w:tabs>
          <w:tab w:val="left" w:pos="851"/>
          <w:tab w:val="left" w:pos="1701"/>
        </w:tabs>
        <w:rPr>
          <w:rFonts w:cs="Arial"/>
          <w:b/>
          <w:sz w:val="16"/>
          <w:szCs w:val="16"/>
          <w:lang w:val="es-CO" w:eastAsia="es-ES"/>
        </w:rPr>
      </w:pPr>
    </w:p>
    <w:p w14:paraId="3D166A8F" w14:textId="3C846633" w:rsidR="00FC70DD" w:rsidRDefault="008B6B13" w:rsidP="00976FF7">
      <w:pPr>
        <w:tabs>
          <w:tab w:val="left" w:pos="851"/>
          <w:tab w:val="left" w:pos="1701"/>
        </w:tabs>
        <w:rPr>
          <w:rFonts w:cs="Arial"/>
          <w:b/>
          <w:sz w:val="16"/>
          <w:szCs w:val="16"/>
        </w:rPr>
      </w:pPr>
      <w:r>
        <w:rPr>
          <w:rFonts w:cs="Arial"/>
          <w:b/>
          <w:sz w:val="16"/>
          <w:szCs w:val="16"/>
          <w:lang w:eastAsia="es-ES"/>
        </w:rPr>
        <w:t xml:space="preserve">El </w:t>
      </w:r>
      <w:r w:rsidR="004E26E2">
        <w:rPr>
          <w:rFonts w:cs="Arial"/>
          <w:b/>
          <w:sz w:val="16"/>
          <w:szCs w:val="16"/>
          <w:lang w:eastAsia="es-ES"/>
        </w:rPr>
        <w:t>Horizonte de Riesgo de Exposición Crediticia (</w:t>
      </w:r>
      <w:proofErr w:type="spellStart"/>
      <w:r w:rsidR="004E26E2">
        <w:rPr>
          <w:rFonts w:cs="Arial"/>
          <w:b/>
          <w:sz w:val="16"/>
          <w:szCs w:val="16"/>
          <w:lang w:eastAsia="es-ES"/>
        </w:rPr>
        <w:t>T</w:t>
      </w:r>
      <w:r w:rsidR="004E26E2">
        <w:rPr>
          <w:rFonts w:cs="Arial"/>
          <w:b/>
          <w:sz w:val="16"/>
          <w:szCs w:val="16"/>
          <w:vertAlign w:val="subscript"/>
          <w:lang w:eastAsia="es-ES"/>
        </w:rPr>
        <w:t>d</w:t>
      </w:r>
      <w:proofErr w:type="spellEnd"/>
      <w:r w:rsidR="004E26E2">
        <w:rPr>
          <w:rFonts w:cs="Arial"/>
          <w:b/>
          <w:sz w:val="16"/>
          <w:szCs w:val="16"/>
          <w:lang w:eastAsia="es-ES"/>
        </w:rPr>
        <w:t>)</w:t>
      </w:r>
      <w:r>
        <w:rPr>
          <w:rFonts w:cs="Arial"/>
          <w:b/>
          <w:sz w:val="16"/>
          <w:szCs w:val="16"/>
          <w:lang w:eastAsia="es-ES"/>
        </w:rPr>
        <w:t xml:space="preserve"> </w:t>
      </w:r>
      <w:r w:rsidR="0027471E">
        <w:rPr>
          <w:rFonts w:cs="Arial"/>
          <w:b/>
          <w:sz w:val="16"/>
          <w:szCs w:val="16"/>
        </w:rPr>
        <w:t>para el cálculo del factor de crédito será:</w:t>
      </w:r>
      <w:r w:rsidR="00FC70DD">
        <w:rPr>
          <w:rFonts w:cs="Arial"/>
          <w:b/>
          <w:sz w:val="16"/>
          <w:szCs w:val="16"/>
        </w:rPr>
        <w:t xml:space="preserve"> </w:t>
      </w:r>
    </w:p>
    <w:p w14:paraId="251E2667" w14:textId="7E1B75C8" w:rsidR="00FC70DD" w:rsidRDefault="00FC70DD" w:rsidP="00976FF7">
      <w:pPr>
        <w:tabs>
          <w:tab w:val="left" w:pos="851"/>
          <w:tab w:val="left" w:pos="1701"/>
        </w:tabs>
        <w:rPr>
          <w:rFonts w:cs="Arial"/>
          <w:b/>
          <w:sz w:val="16"/>
          <w:szCs w:val="16"/>
        </w:rPr>
      </w:pPr>
    </w:p>
    <w:p w14:paraId="09DB881A" w14:textId="45B3E39C" w:rsidR="004E26E2" w:rsidRDefault="004E26E2" w:rsidP="00976FF7">
      <w:pPr>
        <w:pStyle w:val="Prrafodelista"/>
        <w:numPr>
          <w:ilvl w:val="0"/>
          <w:numId w:val="45"/>
        </w:numPr>
        <w:tabs>
          <w:tab w:val="left" w:pos="1701"/>
        </w:tabs>
        <w:rPr>
          <w:rFonts w:cs="Arial"/>
          <w:b/>
          <w:sz w:val="16"/>
          <w:szCs w:val="16"/>
          <w:lang w:eastAsia="es-ES"/>
        </w:rPr>
      </w:pPr>
      <w:r w:rsidRPr="004E26E2">
        <w:rPr>
          <w:rFonts w:cs="Arial"/>
          <w:b/>
          <w:sz w:val="16"/>
          <w:szCs w:val="16"/>
          <w:lang w:eastAsia="es-ES"/>
        </w:rPr>
        <w:t>Si el plazo remanente del derivado es inferior a 10 días, utilizar 10 días.</w:t>
      </w:r>
    </w:p>
    <w:p w14:paraId="7F260818" w14:textId="77777777" w:rsidR="003E1E3A" w:rsidRDefault="004E26E2" w:rsidP="00976FF7">
      <w:pPr>
        <w:pStyle w:val="Prrafodelista"/>
        <w:numPr>
          <w:ilvl w:val="0"/>
          <w:numId w:val="45"/>
        </w:numPr>
        <w:tabs>
          <w:tab w:val="left" w:pos="1701"/>
        </w:tabs>
        <w:rPr>
          <w:rFonts w:cs="Arial"/>
          <w:b/>
          <w:sz w:val="16"/>
          <w:szCs w:val="16"/>
          <w:lang w:eastAsia="es-ES"/>
        </w:rPr>
      </w:pPr>
      <w:r>
        <w:rPr>
          <w:rFonts w:cs="Arial"/>
          <w:b/>
          <w:sz w:val="16"/>
          <w:szCs w:val="16"/>
          <w:lang w:eastAsia="es-ES"/>
        </w:rPr>
        <w:t xml:space="preserve">De lo contrario, utilizar </w:t>
      </w:r>
      <w:r w:rsidR="009F30D1" w:rsidRPr="004E26E2">
        <w:rPr>
          <w:rFonts w:cs="Arial"/>
          <w:b/>
          <w:sz w:val="16"/>
          <w:szCs w:val="16"/>
        </w:rPr>
        <w:t xml:space="preserve">aquel calculado para el caso en el cual no existe anexo de intercambio de garantías, esto es: </w:t>
      </w:r>
    </w:p>
    <w:p w14:paraId="1B3692DB" w14:textId="50307824" w:rsidR="009F30D1" w:rsidRPr="0046263E" w:rsidRDefault="003E1E3A" w:rsidP="00976FF7">
      <w:pPr>
        <w:pStyle w:val="Prrafodelista"/>
        <w:tabs>
          <w:tab w:val="left" w:pos="1701"/>
        </w:tabs>
        <w:ind w:left="724"/>
        <w:rPr>
          <w:rFonts w:cs="Arial"/>
          <w:b/>
          <w:sz w:val="16"/>
          <w:szCs w:val="16"/>
        </w:rPr>
      </w:pPr>
      <w:r>
        <w:rPr>
          <w:rFonts w:cs="Arial"/>
          <w:b/>
          <w:sz w:val="16"/>
          <w:szCs w:val="16"/>
        </w:rPr>
        <w:tab/>
      </w:r>
      <w:r w:rsidR="00701B91" w:rsidRPr="0046263E">
        <w:rPr>
          <w:rFonts w:cs="Arial"/>
          <w:b/>
          <w:sz w:val="16"/>
          <w:szCs w:val="16"/>
        </w:rPr>
        <w:t>M</w:t>
      </w:r>
      <w:r w:rsidR="00A444C9" w:rsidRPr="0046263E">
        <w:rPr>
          <w:rFonts w:cs="Arial"/>
          <w:b/>
          <w:sz w:val="16"/>
          <w:szCs w:val="16"/>
          <w:lang w:eastAsia="es-ES"/>
        </w:rPr>
        <w:t>in</w:t>
      </w:r>
      <w:r w:rsidR="0046263E" w:rsidRPr="0046263E">
        <w:rPr>
          <w:rFonts w:cs="Arial"/>
          <w:b/>
          <w:sz w:val="16"/>
          <w:szCs w:val="16"/>
          <w:lang w:eastAsia="es-ES"/>
        </w:rPr>
        <w:t>{</w:t>
      </w:r>
      <w:r w:rsidR="0021060B">
        <w:rPr>
          <w:rFonts w:cs="Arial"/>
          <w:b/>
          <w:sz w:val="16"/>
          <w:szCs w:val="16"/>
          <w:lang w:eastAsia="es-ES"/>
        </w:rPr>
        <w:t>Max</w:t>
      </w:r>
      <w:r w:rsidR="0021060B" w:rsidRPr="0046263E">
        <w:rPr>
          <w:rFonts w:cs="Arial"/>
          <w:b/>
          <w:sz w:val="16"/>
          <w:szCs w:val="16"/>
          <w:lang w:eastAsia="es-ES"/>
        </w:rPr>
        <w:t>{</w:t>
      </w:r>
      <w:r w:rsidR="0027471E" w:rsidRPr="0046263E">
        <w:rPr>
          <w:rFonts w:cs="Arial"/>
          <w:b/>
          <w:sz w:val="16"/>
          <w:szCs w:val="16"/>
          <w:lang w:eastAsia="es-ES"/>
        </w:rPr>
        <w:t xml:space="preserve">(10 días, </w:t>
      </w:r>
      <w:r w:rsidR="009F30D1" w:rsidRPr="0046263E">
        <w:rPr>
          <w:rFonts w:cs="Arial"/>
          <w:b/>
          <w:sz w:val="16"/>
          <w:szCs w:val="16"/>
          <w:lang w:eastAsia="es-ES"/>
        </w:rPr>
        <w:t>plazo del mitigante del derivado</w:t>
      </w:r>
      <w:r w:rsidR="0021060B" w:rsidRPr="0046263E">
        <w:rPr>
          <w:rFonts w:cs="Arial"/>
          <w:b/>
          <w:sz w:val="16"/>
          <w:szCs w:val="16"/>
          <w:lang w:eastAsia="es-ES"/>
        </w:rPr>
        <w:t>}</w:t>
      </w:r>
      <w:r w:rsidR="009F30D1" w:rsidRPr="0046263E">
        <w:rPr>
          <w:rFonts w:cs="Arial"/>
          <w:b/>
          <w:sz w:val="16"/>
          <w:szCs w:val="16"/>
          <w:lang w:eastAsia="es-ES"/>
        </w:rPr>
        <w:t>, plazo remanente del derivado</w:t>
      </w:r>
      <w:r w:rsidR="0046263E" w:rsidRPr="0046263E">
        <w:rPr>
          <w:rFonts w:cs="Arial"/>
          <w:b/>
          <w:sz w:val="16"/>
          <w:szCs w:val="16"/>
          <w:lang w:eastAsia="es-ES"/>
        </w:rPr>
        <w:t>}</w:t>
      </w:r>
    </w:p>
    <w:p w14:paraId="0F987F22" w14:textId="77777777" w:rsidR="000D4CE9" w:rsidRDefault="000D4CE9" w:rsidP="00976FF7">
      <w:pPr>
        <w:tabs>
          <w:tab w:val="left" w:pos="851"/>
          <w:tab w:val="left" w:pos="1701"/>
        </w:tabs>
        <w:rPr>
          <w:rFonts w:cs="Arial"/>
          <w:b/>
          <w:sz w:val="16"/>
          <w:szCs w:val="16"/>
        </w:rPr>
      </w:pPr>
    </w:p>
    <w:p w14:paraId="70345FE8" w14:textId="7B6602BA" w:rsidR="008B6B13" w:rsidRDefault="001D7971" w:rsidP="00976FF7">
      <w:pPr>
        <w:tabs>
          <w:tab w:val="left" w:pos="1701"/>
        </w:tabs>
        <w:rPr>
          <w:rFonts w:cs="Arial"/>
          <w:b/>
          <w:sz w:val="16"/>
          <w:szCs w:val="16"/>
          <w:lang w:eastAsia="es-ES"/>
        </w:rPr>
      </w:pPr>
      <w:r>
        <w:rPr>
          <w:rFonts w:cs="Arial"/>
          <w:b/>
          <w:sz w:val="16"/>
          <w:szCs w:val="16"/>
          <w:lang w:eastAsia="es-ES"/>
        </w:rPr>
        <w:t xml:space="preserve">1.6. </w:t>
      </w:r>
      <w:r w:rsidR="008B6B13">
        <w:rPr>
          <w:rFonts w:cs="Arial"/>
          <w:b/>
          <w:sz w:val="16"/>
          <w:szCs w:val="16"/>
          <w:lang w:eastAsia="es-ES"/>
        </w:rPr>
        <w:t>Horizonte de Riesgo de Exposición Crediticia</w:t>
      </w:r>
      <w:r w:rsidR="0027471E">
        <w:rPr>
          <w:rFonts w:cs="Arial"/>
          <w:b/>
          <w:sz w:val="16"/>
          <w:szCs w:val="16"/>
          <w:lang w:eastAsia="es-ES"/>
        </w:rPr>
        <w:t xml:space="preserve"> (</w:t>
      </w:r>
      <w:proofErr w:type="spellStart"/>
      <w:r w:rsidR="0027471E">
        <w:rPr>
          <w:rFonts w:cs="Arial"/>
          <w:b/>
          <w:sz w:val="16"/>
          <w:szCs w:val="16"/>
          <w:lang w:eastAsia="es-ES"/>
        </w:rPr>
        <w:t>T</w:t>
      </w:r>
      <w:r w:rsidR="0027471E">
        <w:rPr>
          <w:rFonts w:cs="Arial"/>
          <w:b/>
          <w:sz w:val="16"/>
          <w:szCs w:val="16"/>
          <w:vertAlign w:val="subscript"/>
          <w:lang w:eastAsia="es-ES"/>
        </w:rPr>
        <w:t>d</w:t>
      </w:r>
      <w:proofErr w:type="spellEnd"/>
      <w:r w:rsidR="0027471E">
        <w:rPr>
          <w:rFonts w:cs="Arial"/>
          <w:b/>
          <w:sz w:val="16"/>
          <w:szCs w:val="16"/>
          <w:lang w:eastAsia="es-ES"/>
        </w:rPr>
        <w:t>)</w:t>
      </w:r>
      <w:r w:rsidR="008B6B13">
        <w:rPr>
          <w:rFonts w:cs="Arial"/>
          <w:b/>
          <w:sz w:val="16"/>
          <w:szCs w:val="16"/>
          <w:lang w:eastAsia="es-ES"/>
        </w:rPr>
        <w:t xml:space="preserve"> en días hábiles </w:t>
      </w:r>
    </w:p>
    <w:p w14:paraId="107D8609" w14:textId="77777777" w:rsidR="008B6B13" w:rsidRDefault="008B6B13" w:rsidP="00976FF7">
      <w:pPr>
        <w:tabs>
          <w:tab w:val="left" w:pos="1701"/>
        </w:tabs>
        <w:rPr>
          <w:rFonts w:cs="Arial"/>
          <w:b/>
          <w:sz w:val="16"/>
          <w:szCs w:val="16"/>
          <w:lang w:eastAsia="es-ES"/>
        </w:rPr>
      </w:pPr>
    </w:p>
    <w:p w14:paraId="55677F08" w14:textId="624E1C5B" w:rsidR="001D7971" w:rsidRDefault="0027471E" w:rsidP="00976FF7">
      <w:pPr>
        <w:tabs>
          <w:tab w:val="left" w:pos="1701"/>
        </w:tabs>
        <w:rPr>
          <w:rFonts w:cs="Arial"/>
          <w:b/>
          <w:sz w:val="16"/>
          <w:szCs w:val="16"/>
          <w:lang w:eastAsia="es-ES"/>
        </w:rPr>
      </w:pPr>
      <w:r>
        <w:rPr>
          <w:rFonts w:cs="Arial"/>
          <w:b/>
          <w:sz w:val="16"/>
          <w:szCs w:val="16"/>
          <w:lang w:eastAsia="es-ES"/>
        </w:rPr>
        <w:t xml:space="preserve">El </w:t>
      </w:r>
      <w:r w:rsidR="001D7971">
        <w:rPr>
          <w:rFonts w:cs="Arial"/>
          <w:b/>
          <w:sz w:val="16"/>
          <w:szCs w:val="16"/>
          <w:lang w:eastAsia="es-ES"/>
        </w:rPr>
        <w:t>Horizonte de Riesgo de Exposición Crediticia (</w:t>
      </w:r>
      <w:proofErr w:type="spellStart"/>
      <w:r w:rsidR="001D7971">
        <w:rPr>
          <w:rFonts w:cs="Arial"/>
          <w:b/>
          <w:sz w:val="16"/>
          <w:szCs w:val="16"/>
          <w:lang w:eastAsia="es-ES"/>
        </w:rPr>
        <w:t>T</w:t>
      </w:r>
      <w:r w:rsidR="001D7971">
        <w:rPr>
          <w:rFonts w:cs="Arial"/>
          <w:b/>
          <w:sz w:val="16"/>
          <w:szCs w:val="16"/>
          <w:vertAlign w:val="subscript"/>
          <w:lang w:eastAsia="es-ES"/>
        </w:rPr>
        <w:t>d</w:t>
      </w:r>
      <w:proofErr w:type="spellEnd"/>
      <w:r w:rsidR="001D7971">
        <w:rPr>
          <w:rFonts w:cs="Arial"/>
          <w:b/>
          <w:sz w:val="16"/>
          <w:szCs w:val="16"/>
          <w:lang w:eastAsia="es-ES"/>
        </w:rPr>
        <w:t>)</w:t>
      </w:r>
      <w:r>
        <w:rPr>
          <w:rFonts w:cs="Arial"/>
          <w:b/>
          <w:sz w:val="16"/>
          <w:szCs w:val="16"/>
          <w:lang w:eastAsia="es-ES"/>
        </w:rPr>
        <w:t xml:space="preserve"> no podrá ser inferior a diez (10) días hábiles</w:t>
      </w:r>
      <w:r w:rsidR="00B5209D">
        <w:rPr>
          <w:rFonts w:cs="Arial"/>
          <w:b/>
          <w:sz w:val="16"/>
          <w:szCs w:val="16"/>
          <w:lang w:eastAsia="es-ES"/>
        </w:rPr>
        <w:t xml:space="preserve"> y</w:t>
      </w:r>
      <w:r>
        <w:rPr>
          <w:rFonts w:cs="Arial"/>
          <w:b/>
          <w:sz w:val="16"/>
          <w:szCs w:val="16"/>
          <w:lang w:eastAsia="es-ES"/>
        </w:rPr>
        <w:t xml:space="preserve">, por lo tanto, </w:t>
      </w:r>
      <w:r w:rsidR="00A84D8F">
        <w:rPr>
          <w:rFonts w:cs="Arial"/>
          <w:b/>
          <w:sz w:val="16"/>
          <w:szCs w:val="16"/>
          <w:lang w:eastAsia="es-ES"/>
        </w:rPr>
        <w:t>se define de la siguiente manera</w:t>
      </w:r>
      <w:r>
        <w:rPr>
          <w:rFonts w:cs="Arial"/>
          <w:b/>
          <w:sz w:val="16"/>
          <w:szCs w:val="16"/>
          <w:lang w:eastAsia="es-ES"/>
        </w:rPr>
        <w:t>:</w:t>
      </w:r>
    </w:p>
    <w:p w14:paraId="7E813211" w14:textId="77777777" w:rsidR="001D7971" w:rsidRDefault="001D7971" w:rsidP="00976FF7">
      <w:pPr>
        <w:tabs>
          <w:tab w:val="left" w:pos="1701"/>
        </w:tabs>
        <w:rPr>
          <w:rFonts w:cs="Arial"/>
          <w:b/>
          <w:sz w:val="16"/>
          <w:szCs w:val="16"/>
          <w:lang w:eastAsia="es-ES"/>
        </w:rPr>
      </w:pPr>
    </w:p>
    <w:p w14:paraId="3D6AA00D" w14:textId="540CD2A9" w:rsidR="001D7971" w:rsidRDefault="001D7971" w:rsidP="00976FF7">
      <w:pPr>
        <w:tabs>
          <w:tab w:val="left" w:pos="1701"/>
        </w:tabs>
        <w:rPr>
          <w:rFonts w:cs="Arial"/>
          <w:b/>
          <w:sz w:val="16"/>
          <w:szCs w:val="16"/>
          <w:lang w:eastAsia="es-ES"/>
        </w:rPr>
      </w:pPr>
      <w:r>
        <w:rPr>
          <w:rFonts w:cs="Arial"/>
          <w:b/>
          <w:sz w:val="16"/>
          <w:szCs w:val="16"/>
          <w:lang w:eastAsia="es-ES"/>
        </w:rPr>
        <w:t>i)</w:t>
      </w:r>
      <w:r w:rsidR="00243424">
        <w:rPr>
          <w:rFonts w:cs="Arial"/>
          <w:b/>
          <w:sz w:val="16"/>
          <w:szCs w:val="16"/>
          <w:lang w:eastAsia="es-ES"/>
        </w:rPr>
        <w:t xml:space="preserve"> </w:t>
      </w:r>
      <w:r>
        <w:rPr>
          <w:rFonts w:cs="Arial"/>
          <w:b/>
          <w:sz w:val="16"/>
          <w:szCs w:val="16"/>
          <w:lang w:eastAsia="es-ES"/>
        </w:rPr>
        <w:t>10 días</w:t>
      </w:r>
      <w:r w:rsidR="00E10C83">
        <w:rPr>
          <w:rFonts w:cs="Arial"/>
          <w:b/>
          <w:sz w:val="16"/>
          <w:szCs w:val="16"/>
          <w:lang w:eastAsia="es-ES"/>
        </w:rPr>
        <w:t>, si el plazo remanente del derivado es inferior a 10 días</w:t>
      </w:r>
      <w:r>
        <w:rPr>
          <w:rFonts w:cs="Arial"/>
          <w:b/>
          <w:sz w:val="16"/>
          <w:szCs w:val="16"/>
          <w:lang w:eastAsia="es-ES"/>
        </w:rPr>
        <w:t>.</w:t>
      </w:r>
    </w:p>
    <w:p w14:paraId="3E8ADF86" w14:textId="77777777" w:rsidR="001D7971" w:rsidRDefault="001D7971" w:rsidP="00976FF7">
      <w:pPr>
        <w:tabs>
          <w:tab w:val="left" w:pos="1701"/>
        </w:tabs>
        <w:rPr>
          <w:rFonts w:cs="Arial"/>
          <w:b/>
          <w:sz w:val="16"/>
          <w:szCs w:val="16"/>
          <w:lang w:eastAsia="es-ES"/>
        </w:rPr>
      </w:pPr>
    </w:p>
    <w:p w14:paraId="1485D736" w14:textId="01DB3E1F" w:rsidR="001D7971" w:rsidRDefault="001D7971" w:rsidP="00976FF7">
      <w:pPr>
        <w:ind w:right="51"/>
        <w:rPr>
          <w:rFonts w:cs="Arial"/>
          <w:b/>
          <w:sz w:val="16"/>
          <w:szCs w:val="16"/>
          <w:lang w:eastAsia="es-ES"/>
        </w:rPr>
      </w:pPr>
      <w:proofErr w:type="spellStart"/>
      <w:r>
        <w:rPr>
          <w:rFonts w:cs="Arial"/>
          <w:b/>
          <w:sz w:val="16"/>
          <w:szCs w:val="16"/>
          <w:lang w:eastAsia="es-ES"/>
        </w:rPr>
        <w:t>ii</w:t>
      </w:r>
      <w:proofErr w:type="spellEnd"/>
      <w:r>
        <w:rPr>
          <w:rFonts w:cs="Arial"/>
          <w:b/>
          <w:sz w:val="16"/>
          <w:szCs w:val="16"/>
          <w:lang w:eastAsia="es-ES"/>
        </w:rPr>
        <w:t>) 10 días, si existe un anexo de respaldo crediticio que incluya revisión diaria y un umbral o ‘</w:t>
      </w:r>
      <w:proofErr w:type="spellStart"/>
      <w:r>
        <w:rPr>
          <w:rFonts w:cs="Arial"/>
          <w:b/>
          <w:sz w:val="16"/>
          <w:szCs w:val="16"/>
          <w:lang w:eastAsia="es-ES"/>
        </w:rPr>
        <w:t>threshold</w:t>
      </w:r>
      <w:proofErr w:type="spellEnd"/>
      <w:r>
        <w:rPr>
          <w:rFonts w:cs="Arial"/>
          <w:b/>
          <w:sz w:val="16"/>
          <w:szCs w:val="16"/>
          <w:lang w:eastAsia="es-ES"/>
        </w:rPr>
        <w:t>’ igual a cero (0).</w:t>
      </w:r>
    </w:p>
    <w:p w14:paraId="52EAD4D9" w14:textId="77777777" w:rsidR="000F569C" w:rsidRDefault="000F569C" w:rsidP="00976FF7">
      <w:pPr>
        <w:ind w:right="51"/>
        <w:rPr>
          <w:rFonts w:cs="Arial"/>
          <w:b/>
          <w:sz w:val="16"/>
          <w:szCs w:val="16"/>
          <w:lang w:eastAsia="es-ES"/>
        </w:rPr>
      </w:pPr>
    </w:p>
    <w:p w14:paraId="6D9DDDEC" w14:textId="50364FCD" w:rsidR="001D7971" w:rsidRDefault="001D7971" w:rsidP="00976FF7">
      <w:pPr>
        <w:ind w:right="51"/>
        <w:rPr>
          <w:rFonts w:cs="Arial"/>
          <w:b/>
          <w:sz w:val="16"/>
          <w:szCs w:val="16"/>
          <w:lang w:eastAsia="es-ES"/>
        </w:rPr>
      </w:pPr>
      <w:proofErr w:type="spellStart"/>
      <w:r>
        <w:rPr>
          <w:rFonts w:cs="Arial"/>
          <w:b/>
          <w:sz w:val="16"/>
          <w:szCs w:val="16"/>
          <w:lang w:eastAsia="es-ES"/>
        </w:rPr>
        <w:t>iii</w:t>
      </w:r>
      <w:proofErr w:type="spellEnd"/>
      <w:r>
        <w:rPr>
          <w:rFonts w:cs="Arial"/>
          <w:b/>
          <w:sz w:val="16"/>
          <w:szCs w:val="16"/>
          <w:lang w:eastAsia="es-ES"/>
        </w:rPr>
        <w:t xml:space="preserve">) </w:t>
      </w:r>
      <w:r w:rsidR="0027471E">
        <w:rPr>
          <w:rFonts w:cs="Arial"/>
          <w:b/>
          <w:sz w:val="16"/>
          <w:szCs w:val="16"/>
          <w:lang w:eastAsia="es-ES"/>
        </w:rPr>
        <w:tab/>
        <w:t>Máximo (10 días, plazo</w:t>
      </w:r>
      <w:r w:rsidR="005D1458">
        <w:rPr>
          <w:rFonts w:cs="Arial"/>
          <w:b/>
          <w:sz w:val="16"/>
          <w:szCs w:val="16"/>
          <w:lang w:eastAsia="es-ES"/>
        </w:rPr>
        <w:t xml:space="preserve"> revisión de margen variable)</w:t>
      </w:r>
      <w:r>
        <w:rPr>
          <w:rFonts w:cs="Arial"/>
          <w:b/>
          <w:sz w:val="16"/>
          <w:szCs w:val="16"/>
          <w:lang w:eastAsia="es-ES"/>
        </w:rPr>
        <w:t>, si el anexo de respaldo crediticio no cumple con las condiciones precedentes, donde</w:t>
      </w:r>
      <w:r w:rsidR="00D32266">
        <w:rPr>
          <w:rFonts w:cs="Arial"/>
          <w:b/>
          <w:sz w:val="16"/>
          <w:szCs w:val="16"/>
          <w:lang w:eastAsia="es-ES"/>
        </w:rPr>
        <w:t>:</w:t>
      </w:r>
      <w:r>
        <w:rPr>
          <w:rFonts w:cs="Arial"/>
          <w:b/>
          <w:sz w:val="16"/>
          <w:szCs w:val="16"/>
          <w:lang w:eastAsia="es-ES"/>
        </w:rPr>
        <w:t xml:space="preserve"> </w:t>
      </w:r>
      <w:r>
        <w:rPr>
          <w:rFonts w:cs="Arial"/>
          <w:b/>
          <w:sz w:val="16"/>
          <w:szCs w:val="16"/>
          <w:lang w:eastAsia="es-ES"/>
        </w:rPr>
        <w:tab/>
      </w:r>
    </w:p>
    <w:p w14:paraId="78A36DF5" w14:textId="77777777" w:rsidR="001F20D9" w:rsidRDefault="001F20D9" w:rsidP="00976FF7">
      <w:pPr>
        <w:ind w:right="51"/>
        <w:rPr>
          <w:rFonts w:cs="Arial"/>
          <w:b/>
          <w:sz w:val="16"/>
          <w:szCs w:val="16"/>
          <w:lang w:eastAsia="es-ES"/>
        </w:rPr>
      </w:pPr>
    </w:p>
    <w:p w14:paraId="0D6BB1C9" w14:textId="0D70F7DA" w:rsidR="001F20D9" w:rsidRDefault="001F20D9" w:rsidP="00976FF7">
      <w:pPr>
        <w:ind w:right="51"/>
        <w:rPr>
          <w:rFonts w:cs="Arial"/>
          <w:b/>
          <w:sz w:val="16"/>
          <w:szCs w:val="16"/>
          <w:lang w:eastAsia="es-ES"/>
        </w:rPr>
      </w:pPr>
      <w:r>
        <w:rPr>
          <w:rFonts w:cs="Arial"/>
          <w:b/>
          <w:sz w:val="16"/>
          <w:szCs w:val="16"/>
          <w:lang w:eastAsia="es-ES"/>
        </w:rPr>
        <w:t xml:space="preserve">Plazo de revisión de margen variable = </w:t>
      </w:r>
      <w:r w:rsidR="00622EE4">
        <w:rPr>
          <w:rFonts w:cs="Arial"/>
          <w:b/>
          <w:sz w:val="16"/>
          <w:szCs w:val="16"/>
          <w:lang w:eastAsia="es-ES"/>
        </w:rPr>
        <w:t>Plazo en días entre el día del cálculo de la EC y la siguiente fecha de valoración o revisión de margen variable de acuerdo con el acuerdo de in</w:t>
      </w:r>
      <w:r w:rsidR="005F74A3">
        <w:rPr>
          <w:rFonts w:cs="Arial"/>
          <w:b/>
          <w:sz w:val="16"/>
          <w:szCs w:val="16"/>
          <w:lang w:eastAsia="es-ES"/>
        </w:rPr>
        <w:t xml:space="preserve">tercambio de garantías celebrado entre las partes. </w:t>
      </w:r>
    </w:p>
    <w:p w14:paraId="5C57A67C" w14:textId="77777777" w:rsidR="001D7971" w:rsidRDefault="001D7971" w:rsidP="00976FF7">
      <w:pPr>
        <w:ind w:right="51"/>
        <w:rPr>
          <w:rFonts w:cs="Arial"/>
          <w:b/>
          <w:sz w:val="16"/>
          <w:szCs w:val="16"/>
          <w:lang w:eastAsia="es-ES"/>
        </w:rPr>
      </w:pPr>
    </w:p>
    <w:p w14:paraId="5E3A9F4D" w14:textId="37F30B3E" w:rsidR="00305C9F" w:rsidRDefault="00305C9F" w:rsidP="002E5E38">
      <w:pPr>
        <w:tabs>
          <w:tab w:val="left" w:pos="0"/>
        </w:tabs>
        <w:ind w:right="51"/>
        <w:rPr>
          <w:rFonts w:cs="Arial"/>
          <w:b/>
          <w:sz w:val="16"/>
          <w:szCs w:val="16"/>
          <w:lang w:eastAsia="es-ES"/>
        </w:rPr>
        <w:sectPr w:rsidR="00305C9F" w:rsidSect="004D4ACB">
          <w:headerReference w:type="default" r:id="rId21"/>
          <w:pgSz w:w="12242" w:h="18722" w:code="14"/>
          <w:pgMar w:top="1701" w:right="1701" w:bottom="1701" w:left="1701" w:header="680" w:footer="1003" w:gutter="0"/>
          <w:paperSrc w:first="3" w:other="3"/>
          <w:pgNumType w:start="24"/>
          <w:cols w:space="720"/>
          <w:noEndnote/>
          <w:docGrid w:linePitch="326"/>
        </w:sectPr>
      </w:pPr>
    </w:p>
    <w:p w14:paraId="345233D7" w14:textId="7A187055" w:rsidR="001D7971" w:rsidRDefault="00223096" w:rsidP="00223096">
      <w:pPr>
        <w:ind w:right="51"/>
        <w:rPr>
          <w:rFonts w:cs="Arial"/>
          <w:b/>
          <w:sz w:val="16"/>
          <w:szCs w:val="16"/>
          <w:lang w:eastAsia="es-ES"/>
        </w:rPr>
      </w:pPr>
      <w:r>
        <w:rPr>
          <w:rFonts w:cs="Arial"/>
          <w:b/>
          <w:noProof/>
          <w:sz w:val="16"/>
          <w:szCs w:val="16"/>
          <w:lang w:eastAsia="es-ES"/>
        </w:rPr>
        <w:lastRenderedPageBreak/>
        <mc:AlternateContent>
          <mc:Choice Requires="wps">
            <w:drawing>
              <wp:anchor distT="0" distB="0" distL="114300" distR="114300" simplePos="0" relativeHeight="251671552" behindDoc="0" locked="0" layoutInCell="1" allowOverlap="1" wp14:anchorId="169A6BE3" wp14:editId="1B28D9CC">
                <wp:simplePos x="0" y="0"/>
                <wp:positionH relativeFrom="column">
                  <wp:posOffset>-172389</wp:posOffset>
                </wp:positionH>
                <wp:positionV relativeFrom="paragraph">
                  <wp:posOffset>15875</wp:posOffset>
                </wp:positionV>
                <wp:extent cx="0" cy="8964000"/>
                <wp:effectExtent l="0" t="0" r="38100" b="27940"/>
                <wp:wrapNone/>
                <wp:docPr id="9" name="Conector recto 9"/>
                <wp:cNvGraphicFramePr/>
                <a:graphic xmlns:a="http://schemas.openxmlformats.org/drawingml/2006/main">
                  <a:graphicData uri="http://schemas.microsoft.com/office/word/2010/wordprocessingShape">
                    <wps:wsp>
                      <wps:cNvCnPr/>
                      <wps:spPr>
                        <a:xfrm flipH="1">
                          <a:off x="0" y="0"/>
                          <a:ext cx="0" cy="8964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120204" id="Conector recto 9"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5pt,1.25pt" to="-13.55pt,70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" strokecolor="black [3213]" strokeweight=".5pt">
                <v:stroke joinstyle="miter"/>
              </v:line>
            </w:pict>
          </mc:Fallback>
        </mc:AlternateContent>
      </w:r>
    </w:p>
    <w:p w14:paraId="509B86F6" w14:textId="6A9F66FA" w:rsidR="001D7971" w:rsidRDefault="001D7971" w:rsidP="00223096">
      <w:pPr>
        <w:ind w:right="51"/>
        <w:rPr>
          <w:rFonts w:cs="Arial"/>
          <w:b/>
          <w:sz w:val="16"/>
          <w:szCs w:val="16"/>
          <w:lang w:eastAsia="es-ES"/>
        </w:rPr>
      </w:pPr>
      <w:proofErr w:type="spellStart"/>
      <w:r>
        <w:rPr>
          <w:rFonts w:cs="Arial"/>
          <w:b/>
          <w:sz w:val="16"/>
          <w:szCs w:val="16"/>
          <w:lang w:eastAsia="es-ES"/>
        </w:rPr>
        <w:t>iv</w:t>
      </w:r>
      <w:proofErr w:type="spellEnd"/>
      <w:r>
        <w:rPr>
          <w:rFonts w:cs="Arial"/>
          <w:b/>
          <w:sz w:val="16"/>
          <w:szCs w:val="16"/>
          <w:lang w:eastAsia="es-ES"/>
        </w:rPr>
        <w:t xml:space="preserve">) </w:t>
      </w:r>
      <w:r>
        <w:rPr>
          <w:rFonts w:cs="Arial"/>
          <w:b/>
          <w:i/>
          <w:iCs/>
          <w:sz w:val="16"/>
          <w:szCs w:val="16"/>
          <w:lang w:eastAsia="es-ES"/>
        </w:rPr>
        <w:t>M</w:t>
      </w:r>
      <w:r w:rsidRPr="001C5E87">
        <w:rPr>
          <w:rFonts w:cs="Arial"/>
          <w:b/>
          <w:i/>
          <w:sz w:val="16"/>
          <w:szCs w:val="16"/>
          <w:lang w:eastAsia="es-ES"/>
        </w:rPr>
        <w:t>ínimo (</w:t>
      </w:r>
      <w:r w:rsidR="005D1458">
        <w:rPr>
          <w:rFonts w:cs="Arial"/>
          <w:b/>
          <w:i/>
          <w:sz w:val="16"/>
          <w:szCs w:val="16"/>
          <w:lang w:eastAsia="es-ES"/>
        </w:rPr>
        <w:t xml:space="preserve">máximo (10 días, </w:t>
      </w:r>
      <w:r w:rsidRPr="001C5E87">
        <w:rPr>
          <w:rFonts w:cs="Arial"/>
          <w:b/>
          <w:i/>
          <w:sz w:val="16"/>
          <w:szCs w:val="16"/>
          <w:lang w:eastAsia="es-ES"/>
        </w:rPr>
        <w:t>plazo del mitigante del derivado</w:t>
      </w:r>
      <w:r w:rsidR="005D1458">
        <w:rPr>
          <w:rFonts w:cs="Arial"/>
          <w:b/>
          <w:i/>
          <w:sz w:val="16"/>
          <w:szCs w:val="16"/>
          <w:lang w:eastAsia="es-ES"/>
        </w:rPr>
        <w:t>)</w:t>
      </w:r>
      <w:r w:rsidRPr="001C5E87">
        <w:rPr>
          <w:rFonts w:cs="Arial"/>
          <w:b/>
          <w:i/>
          <w:sz w:val="16"/>
          <w:szCs w:val="16"/>
          <w:lang w:eastAsia="es-ES"/>
        </w:rPr>
        <w:t>, plazo remanente del derivado)</w:t>
      </w:r>
      <w:r>
        <w:rPr>
          <w:rFonts w:cs="Arial"/>
          <w:b/>
          <w:sz w:val="16"/>
          <w:szCs w:val="16"/>
          <w:lang w:eastAsia="es-ES"/>
        </w:rPr>
        <w:t>, si no existe acuerdo de intercambio de garantías, donde:</w:t>
      </w:r>
    </w:p>
    <w:p w14:paraId="79956C9F" w14:textId="77777777" w:rsidR="001D7971" w:rsidRDefault="001D7971" w:rsidP="00223096">
      <w:pPr>
        <w:ind w:right="51"/>
        <w:rPr>
          <w:rFonts w:cs="Arial"/>
          <w:b/>
          <w:sz w:val="16"/>
          <w:szCs w:val="16"/>
          <w:lang w:eastAsia="es-ES"/>
        </w:rPr>
      </w:pPr>
    </w:p>
    <w:p w14:paraId="7475071F" w14:textId="77777777" w:rsidR="001D7971" w:rsidRDefault="001D7971" w:rsidP="00223096">
      <w:pPr>
        <w:tabs>
          <w:tab w:val="left" w:pos="426"/>
        </w:tabs>
        <w:ind w:right="51"/>
        <w:rPr>
          <w:rFonts w:cs="Arial"/>
          <w:b/>
          <w:sz w:val="16"/>
          <w:szCs w:val="16"/>
          <w:lang w:eastAsia="es-ES"/>
        </w:rPr>
      </w:pPr>
      <w:r>
        <w:rPr>
          <w:rFonts w:cs="Arial"/>
          <w:b/>
          <w:sz w:val="16"/>
          <w:szCs w:val="16"/>
          <w:lang w:eastAsia="es-ES"/>
        </w:rPr>
        <w:t>Plazo del mitigante del derivado = Plazo en días entre el día del cálculo de la EC y la siguiente fecha de ´</w:t>
      </w:r>
      <w:proofErr w:type="spellStart"/>
      <w:r>
        <w:rPr>
          <w:rFonts w:cs="Arial"/>
          <w:b/>
          <w:sz w:val="16"/>
          <w:szCs w:val="16"/>
          <w:lang w:eastAsia="es-ES"/>
        </w:rPr>
        <w:t>Recouponing</w:t>
      </w:r>
      <w:proofErr w:type="spellEnd"/>
      <w:r>
        <w:rPr>
          <w:rFonts w:cs="Arial"/>
          <w:b/>
          <w:sz w:val="16"/>
          <w:szCs w:val="16"/>
          <w:lang w:eastAsia="es-ES"/>
        </w:rPr>
        <w:t xml:space="preserve">’ o de Terminación </w:t>
      </w:r>
      <w:r>
        <w:rPr>
          <w:rFonts w:cs="Arial"/>
          <w:b/>
          <w:sz w:val="16"/>
          <w:szCs w:val="16"/>
          <w:lang w:eastAsia="es-ES"/>
        </w:rPr>
        <w:tab/>
        <w:t xml:space="preserve">Anticipada. </w:t>
      </w:r>
    </w:p>
    <w:p w14:paraId="489F17BD" w14:textId="77777777" w:rsidR="001D7971" w:rsidRDefault="001D7971" w:rsidP="00223096">
      <w:pPr>
        <w:tabs>
          <w:tab w:val="left" w:pos="1701"/>
        </w:tabs>
        <w:ind w:right="51"/>
        <w:rPr>
          <w:rFonts w:cs="Arial"/>
          <w:b/>
          <w:sz w:val="16"/>
          <w:szCs w:val="16"/>
          <w:lang w:eastAsia="es-ES"/>
        </w:rPr>
      </w:pPr>
    </w:p>
    <w:p w14:paraId="1A5E81A8" w14:textId="77777777" w:rsidR="001D7971" w:rsidRDefault="001D7971" w:rsidP="00223096">
      <w:pPr>
        <w:tabs>
          <w:tab w:val="left" w:pos="851"/>
        </w:tabs>
        <w:ind w:right="51"/>
        <w:rPr>
          <w:rFonts w:cs="Arial"/>
          <w:b/>
          <w:sz w:val="16"/>
          <w:szCs w:val="16"/>
          <w:lang w:eastAsia="es-ES"/>
        </w:rPr>
      </w:pPr>
      <w:r>
        <w:rPr>
          <w:rFonts w:cs="Arial"/>
          <w:b/>
          <w:sz w:val="16"/>
          <w:szCs w:val="16"/>
          <w:lang w:eastAsia="es-ES"/>
        </w:rPr>
        <w:t>Plazo para el ‘</w:t>
      </w:r>
      <w:proofErr w:type="spellStart"/>
      <w:r>
        <w:rPr>
          <w:rFonts w:cs="Arial"/>
          <w:b/>
          <w:sz w:val="16"/>
          <w:szCs w:val="16"/>
          <w:lang w:eastAsia="es-ES"/>
        </w:rPr>
        <w:t>Recouponing</w:t>
      </w:r>
      <w:proofErr w:type="spellEnd"/>
      <w:r>
        <w:rPr>
          <w:rFonts w:cs="Arial"/>
          <w:b/>
          <w:sz w:val="16"/>
          <w:szCs w:val="16"/>
          <w:lang w:eastAsia="es-ES"/>
        </w:rPr>
        <w:t xml:space="preserve">’ </w:t>
      </w:r>
      <w:r>
        <w:rPr>
          <w:rFonts w:cs="Arial"/>
          <w:b/>
          <w:sz w:val="16"/>
          <w:szCs w:val="16"/>
          <w:lang w:eastAsia="es-ES"/>
        </w:rPr>
        <w:tab/>
        <w:t xml:space="preserve">= Plazo en días entre el día del cálculo de la EC y la siguiente fecha </w:t>
      </w:r>
      <w:r>
        <w:rPr>
          <w:rFonts w:cs="Arial"/>
          <w:b/>
          <w:sz w:val="16"/>
          <w:szCs w:val="16"/>
          <w:lang w:eastAsia="es-ES"/>
        </w:rPr>
        <w:tab/>
        <w:t xml:space="preserve">de </w:t>
      </w:r>
      <w:r>
        <w:rPr>
          <w:rFonts w:cs="Arial"/>
          <w:b/>
          <w:sz w:val="16"/>
          <w:szCs w:val="16"/>
          <w:lang w:eastAsia="es-ES"/>
        </w:rPr>
        <w:tab/>
        <w:t>‘</w:t>
      </w:r>
      <w:proofErr w:type="spellStart"/>
      <w:r>
        <w:rPr>
          <w:rFonts w:cs="Arial"/>
          <w:b/>
          <w:sz w:val="16"/>
          <w:szCs w:val="16"/>
          <w:lang w:eastAsia="es-ES"/>
        </w:rPr>
        <w:t>Recouponing</w:t>
      </w:r>
      <w:proofErr w:type="spellEnd"/>
      <w:r>
        <w:rPr>
          <w:rFonts w:cs="Arial"/>
          <w:b/>
          <w:sz w:val="16"/>
          <w:szCs w:val="16"/>
          <w:lang w:eastAsia="es-ES"/>
        </w:rPr>
        <w:t xml:space="preserve">’ previamente acordada entre las partes de la operación, en la cual, </w:t>
      </w:r>
      <w:r>
        <w:rPr>
          <w:rFonts w:cs="Arial"/>
          <w:b/>
          <w:sz w:val="16"/>
          <w:szCs w:val="16"/>
          <w:lang w:eastAsia="es-ES"/>
        </w:rPr>
        <w:tab/>
        <w:t xml:space="preserve">efectivamente </w:t>
      </w:r>
      <w:r>
        <w:rPr>
          <w:rFonts w:cs="Arial"/>
          <w:b/>
          <w:sz w:val="16"/>
          <w:szCs w:val="16"/>
          <w:lang w:eastAsia="es-ES"/>
        </w:rPr>
        <w:tab/>
        <w:t xml:space="preserve">ocurren pagos o </w:t>
      </w:r>
      <w:proofErr w:type="spellStart"/>
      <w:r>
        <w:rPr>
          <w:rFonts w:cs="Arial"/>
          <w:b/>
          <w:sz w:val="16"/>
          <w:szCs w:val="16"/>
          <w:lang w:eastAsia="es-ES"/>
        </w:rPr>
        <w:t>neteos</w:t>
      </w:r>
      <w:proofErr w:type="spellEnd"/>
      <w:r>
        <w:rPr>
          <w:rFonts w:cs="Arial"/>
          <w:b/>
          <w:sz w:val="16"/>
          <w:szCs w:val="16"/>
          <w:lang w:eastAsia="es-ES"/>
        </w:rPr>
        <w:t xml:space="preserve"> periódicos para cancelar totalmente los saldos a </w:t>
      </w:r>
      <w:r>
        <w:rPr>
          <w:rFonts w:cs="Arial"/>
          <w:b/>
          <w:sz w:val="16"/>
          <w:szCs w:val="16"/>
          <w:lang w:eastAsia="es-ES"/>
        </w:rPr>
        <w:tab/>
        <w:t xml:space="preserve">favor y en contra que </w:t>
      </w:r>
      <w:r>
        <w:rPr>
          <w:rFonts w:cs="Arial"/>
          <w:b/>
          <w:sz w:val="16"/>
          <w:szCs w:val="16"/>
          <w:lang w:eastAsia="es-ES"/>
        </w:rPr>
        <w:tab/>
        <w:t xml:space="preserve">haya en </w:t>
      </w:r>
      <w:r>
        <w:rPr>
          <w:rFonts w:cs="Arial"/>
          <w:b/>
          <w:sz w:val="16"/>
          <w:szCs w:val="16"/>
          <w:lang w:eastAsia="es-ES"/>
        </w:rPr>
        <w:tab/>
        <w:t xml:space="preserve">dicho momento, por concepto de la valoración del respectivo </w:t>
      </w:r>
      <w:r>
        <w:rPr>
          <w:rFonts w:cs="Arial"/>
          <w:b/>
          <w:sz w:val="16"/>
          <w:szCs w:val="16"/>
          <w:lang w:eastAsia="es-ES"/>
        </w:rPr>
        <w:tab/>
        <w:t>instrumento financiero derivado.</w:t>
      </w:r>
    </w:p>
    <w:p w14:paraId="36A0D543" w14:textId="77777777" w:rsidR="001D7971" w:rsidRDefault="001D7971" w:rsidP="00223096">
      <w:pPr>
        <w:tabs>
          <w:tab w:val="left" w:pos="1701"/>
        </w:tabs>
        <w:ind w:right="51"/>
        <w:rPr>
          <w:rFonts w:cs="Arial"/>
          <w:b/>
          <w:sz w:val="16"/>
          <w:szCs w:val="16"/>
          <w:lang w:eastAsia="es-ES"/>
        </w:rPr>
      </w:pPr>
    </w:p>
    <w:p w14:paraId="53222CE7" w14:textId="1021DCA7" w:rsidR="001D7971" w:rsidRDefault="001D7971" w:rsidP="00223096">
      <w:pPr>
        <w:tabs>
          <w:tab w:val="left" w:pos="851"/>
        </w:tabs>
        <w:ind w:left="1" w:right="51" w:hanging="1"/>
        <w:rPr>
          <w:rFonts w:cs="Arial"/>
          <w:b/>
          <w:sz w:val="16"/>
          <w:szCs w:val="16"/>
          <w:lang w:eastAsia="es-ES"/>
        </w:rPr>
      </w:pPr>
      <w:r>
        <w:rPr>
          <w:rFonts w:cs="Arial"/>
          <w:b/>
          <w:sz w:val="16"/>
          <w:szCs w:val="16"/>
          <w:lang w:eastAsia="es-ES"/>
        </w:rPr>
        <w:tab/>
        <w:t xml:space="preserve">Plazo de Terminación Anticipada </w:t>
      </w:r>
      <w:r>
        <w:rPr>
          <w:rFonts w:cs="Arial"/>
          <w:b/>
          <w:sz w:val="16"/>
          <w:szCs w:val="16"/>
          <w:lang w:eastAsia="es-ES"/>
        </w:rPr>
        <w:tab/>
        <w:t>=</w:t>
      </w:r>
      <w:r>
        <w:rPr>
          <w:rFonts w:cs="Arial"/>
          <w:b/>
          <w:sz w:val="16"/>
          <w:szCs w:val="16"/>
          <w:lang w:eastAsia="es-ES"/>
        </w:rPr>
        <w:tab/>
        <w:t xml:space="preserve"> Plazo en días entre el día de del cálculo de la EC y la fecha anticipada </w:t>
      </w:r>
      <w:r>
        <w:rPr>
          <w:rFonts w:cs="Arial"/>
          <w:b/>
          <w:sz w:val="16"/>
          <w:szCs w:val="16"/>
          <w:lang w:eastAsia="es-ES"/>
        </w:rPr>
        <w:tab/>
        <w:t xml:space="preserve">para </w:t>
      </w:r>
      <w:r>
        <w:rPr>
          <w:rFonts w:cs="Arial"/>
          <w:b/>
          <w:sz w:val="16"/>
          <w:szCs w:val="16"/>
          <w:lang w:eastAsia="es-ES"/>
        </w:rPr>
        <w:tab/>
        <w:t xml:space="preserve">la terminación del derivado, la cual puede provenir de un acuerdo de ruptura o de un evento de </w:t>
      </w:r>
      <w:r>
        <w:rPr>
          <w:rFonts w:cs="Arial"/>
          <w:b/>
          <w:sz w:val="16"/>
          <w:szCs w:val="16"/>
          <w:lang w:eastAsia="es-ES"/>
        </w:rPr>
        <w:tab/>
        <w:t>terminación</w:t>
      </w:r>
      <w:r w:rsidR="00170D83">
        <w:rPr>
          <w:rFonts w:cs="Arial"/>
          <w:b/>
          <w:sz w:val="16"/>
          <w:szCs w:val="16"/>
          <w:lang w:eastAsia="es-ES"/>
        </w:rPr>
        <w:t xml:space="preserve"> </w:t>
      </w:r>
      <w:r>
        <w:rPr>
          <w:rFonts w:cs="Arial"/>
          <w:b/>
          <w:sz w:val="16"/>
          <w:szCs w:val="16"/>
          <w:lang w:eastAsia="es-ES"/>
        </w:rPr>
        <w:t>obligatorio.</w:t>
      </w:r>
    </w:p>
    <w:p w14:paraId="61217148" w14:textId="77777777" w:rsidR="001D7971" w:rsidRDefault="001D7971" w:rsidP="00223096">
      <w:pPr>
        <w:tabs>
          <w:tab w:val="left" w:pos="851"/>
        </w:tabs>
        <w:ind w:left="1" w:right="51" w:hanging="1"/>
        <w:rPr>
          <w:rFonts w:cs="Arial"/>
          <w:b/>
          <w:sz w:val="16"/>
          <w:szCs w:val="16"/>
          <w:lang w:eastAsia="es-ES"/>
        </w:rPr>
      </w:pPr>
    </w:p>
    <w:p w14:paraId="3C3903CE" w14:textId="6F19E834" w:rsidR="001D7971" w:rsidRDefault="001D7971" w:rsidP="00223096">
      <w:pPr>
        <w:tabs>
          <w:tab w:val="left" w:pos="851"/>
        </w:tabs>
        <w:ind w:left="1" w:right="51" w:hanging="1"/>
        <w:rPr>
          <w:rFonts w:cs="Arial"/>
          <w:b/>
          <w:sz w:val="16"/>
          <w:szCs w:val="16"/>
          <w:lang w:eastAsia="es-ES"/>
        </w:rPr>
      </w:pPr>
      <w:r>
        <w:rPr>
          <w:rFonts w:cs="Arial"/>
          <w:b/>
          <w:sz w:val="16"/>
          <w:szCs w:val="16"/>
          <w:lang w:eastAsia="es-ES"/>
        </w:rPr>
        <w:t xml:space="preserve">Una vez </w:t>
      </w:r>
      <w:r w:rsidR="000B2730">
        <w:rPr>
          <w:rFonts w:cs="Arial"/>
          <w:b/>
          <w:sz w:val="16"/>
          <w:szCs w:val="16"/>
          <w:lang w:eastAsia="es-ES"/>
        </w:rPr>
        <w:t xml:space="preserve">establecido </w:t>
      </w:r>
      <w:r>
        <w:rPr>
          <w:rFonts w:cs="Arial"/>
          <w:b/>
          <w:sz w:val="16"/>
          <w:szCs w:val="16"/>
          <w:lang w:eastAsia="es-ES"/>
        </w:rPr>
        <w:t xml:space="preserve">el valor </w:t>
      </w:r>
      <w:proofErr w:type="spellStart"/>
      <w:r>
        <w:rPr>
          <w:rFonts w:cs="Arial"/>
          <w:b/>
          <w:sz w:val="16"/>
          <w:szCs w:val="16"/>
          <w:lang w:eastAsia="es-ES"/>
        </w:rPr>
        <w:t>T</w:t>
      </w:r>
      <w:r>
        <w:rPr>
          <w:rFonts w:cs="Arial"/>
          <w:b/>
          <w:sz w:val="16"/>
          <w:szCs w:val="16"/>
          <w:vertAlign w:val="subscript"/>
          <w:lang w:eastAsia="es-ES"/>
        </w:rPr>
        <w:t>d</w:t>
      </w:r>
      <w:proofErr w:type="spellEnd"/>
      <w:r>
        <w:rPr>
          <w:rFonts w:cs="Arial"/>
          <w:b/>
          <w:sz w:val="16"/>
          <w:szCs w:val="16"/>
          <w:lang w:eastAsia="es-ES"/>
        </w:rPr>
        <w:t xml:space="preserve">, calcular el Horizonte de Riesgo de Exposición Crediticia Anualizado (T) utilizando la siguiente fórmula: </w:t>
      </w:r>
    </w:p>
    <w:p w14:paraId="21B40924" w14:textId="77777777" w:rsidR="006A7398" w:rsidRDefault="006A7398" w:rsidP="00223096">
      <w:pPr>
        <w:tabs>
          <w:tab w:val="left" w:pos="851"/>
        </w:tabs>
        <w:ind w:left="1" w:right="51" w:hanging="1"/>
        <w:rPr>
          <w:rFonts w:cs="Arial"/>
          <w:b/>
          <w:sz w:val="16"/>
          <w:szCs w:val="16"/>
          <w:lang w:eastAsia="es-ES"/>
        </w:rPr>
      </w:pPr>
    </w:p>
    <w:p w14:paraId="6BF84007" w14:textId="77777777" w:rsidR="006A7398" w:rsidRDefault="006A7398" w:rsidP="00223096">
      <w:pPr>
        <w:tabs>
          <w:tab w:val="left" w:pos="851"/>
        </w:tabs>
        <w:ind w:left="1" w:right="51" w:hanging="1"/>
        <w:rPr>
          <w:rFonts w:cs="Arial"/>
          <w:b/>
          <w:sz w:val="16"/>
          <w:szCs w:val="16"/>
          <w:lang w:eastAsia="es-ES"/>
        </w:rPr>
      </w:pPr>
    </w:p>
    <w:p w14:paraId="7253B7B2" w14:textId="77777777" w:rsidR="001D7971" w:rsidRDefault="001D7971" w:rsidP="00223096">
      <w:pPr>
        <w:tabs>
          <w:tab w:val="left" w:pos="851"/>
        </w:tabs>
        <w:ind w:right="51"/>
        <w:rPr>
          <w:rFonts w:cs="Arial"/>
          <w:b/>
          <w:sz w:val="16"/>
          <w:szCs w:val="16"/>
          <w:lang w:eastAsia="es-ES"/>
        </w:rPr>
      </w:pPr>
    </w:p>
    <w:p w14:paraId="10BB1AE8" w14:textId="77777777" w:rsidR="001D7971" w:rsidRDefault="001D7971" w:rsidP="00223096">
      <w:pPr>
        <w:tabs>
          <w:tab w:val="left" w:pos="851"/>
        </w:tabs>
        <w:ind w:left="1" w:right="51" w:hanging="1"/>
        <w:rPr>
          <w:rFonts w:cs="Arial"/>
          <w:b/>
          <w:sz w:val="16"/>
          <w:szCs w:val="16"/>
          <w:lang w:eastAsia="es-ES"/>
        </w:rPr>
      </w:pPr>
      <m:oMathPara>
        <m:oMath>
          <m:r>
            <m:rPr>
              <m:sty m:val="bi"/>
            </m:rPr>
            <w:rPr>
              <w:rFonts w:ascii="Cambria Math" w:hAnsi="Cambria Math" w:cs="Arial"/>
              <w:sz w:val="16"/>
              <w:szCs w:val="16"/>
              <w:lang w:eastAsia="es-ES"/>
            </w:rPr>
            <m:t>T=</m:t>
          </m:r>
          <m:rad>
            <m:radPr>
              <m:degHide m:val="1"/>
              <m:ctrlPr>
                <w:rPr>
                  <w:rFonts w:ascii="Cambria Math" w:hAnsi="Cambria Math" w:cs="Arial"/>
                  <w:b/>
                  <w:i/>
                  <w:sz w:val="16"/>
                  <w:szCs w:val="16"/>
                  <w:lang w:eastAsia="es-ES"/>
                </w:rPr>
              </m:ctrlPr>
            </m:radPr>
            <m:deg/>
            <m:e>
              <m:f>
                <m:fPr>
                  <m:ctrlPr>
                    <w:rPr>
                      <w:rFonts w:ascii="Cambria Math" w:hAnsi="Cambria Math" w:cs="Arial"/>
                      <w:b/>
                      <w:i/>
                      <w:sz w:val="16"/>
                      <w:szCs w:val="16"/>
                      <w:lang w:eastAsia="es-ES"/>
                    </w:rPr>
                  </m:ctrlPr>
                </m:fPr>
                <m:num>
                  <m:r>
                    <m:rPr>
                      <m:sty m:val="bi"/>
                    </m:rPr>
                    <w:rPr>
                      <w:rFonts w:ascii="Cambria Math" w:hAnsi="Cambria Math" w:cs="Arial"/>
                      <w:sz w:val="16"/>
                      <w:szCs w:val="16"/>
                      <w:lang w:eastAsia="es-ES"/>
                    </w:rPr>
                    <m:t>min(</m:t>
                  </m:r>
                  <m:sSub>
                    <m:sSubPr>
                      <m:ctrlPr>
                        <w:rPr>
                          <w:rFonts w:ascii="Cambria Math" w:hAnsi="Cambria Math" w:cs="Arial"/>
                          <w:b/>
                          <w:i/>
                          <w:sz w:val="16"/>
                          <w:szCs w:val="16"/>
                          <w:lang w:eastAsia="es-ES"/>
                        </w:rPr>
                      </m:ctrlPr>
                    </m:sSubPr>
                    <m:e>
                      <m:r>
                        <m:rPr>
                          <m:sty m:val="bi"/>
                        </m:rPr>
                        <w:rPr>
                          <w:rFonts w:ascii="Cambria Math" w:hAnsi="Cambria Math" w:cs="Arial"/>
                          <w:sz w:val="16"/>
                          <w:szCs w:val="16"/>
                          <w:lang w:eastAsia="es-ES"/>
                        </w:rPr>
                        <m:t>T</m:t>
                      </m:r>
                    </m:e>
                    <m:sub>
                      <m:r>
                        <m:rPr>
                          <m:sty m:val="bi"/>
                        </m:rPr>
                        <w:rPr>
                          <w:rFonts w:ascii="Cambria Math" w:hAnsi="Cambria Math" w:cs="Arial"/>
                          <w:sz w:val="16"/>
                          <w:szCs w:val="16"/>
                          <w:lang w:eastAsia="es-ES"/>
                        </w:rPr>
                        <m:t>d</m:t>
                      </m:r>
                    </m:sub>
                  </m:sSub>
                  <m:r>
                    <m:rPr>
                      <m:sty m:val="bi"/>
                    </m:rPr>
                    <w:rPr>
                      <w:rFonts w:ascii="Cambria Math" w:hAnsi="Cambria Math" w:cs="Arial"/>
                      <w:sz w:val="16"/>
                      <w:szCs w:val="16"/>
                      <w:lang w:eastAsia="es-ES"/>
                    </w:rPr>
                    <m:t>, 252)</m:t>
                  </m:r>
                </m:num>
                <m:den>
                  <m:r>
                    <m:rPr>
                      <m:sty m:val="bi"/>
                    </m:rPr>
                    <w:rPr>
                      <w:rFonts w:ascii="Cambria Math" w:hAnsi="Cambria Math" w:cs="Arial"/>
                      <w:sz w:val="16"/>
                      <w:szCs w:val="16"/>
                      <w:lang w:eastAsia="es-ES"/>
                    </w:rPr>
                    <m:t>252</m:t>
                  </m:r>
                </m:den>
              </m:f>
            </m:e>
          </m:rad>
        </m:oMath>
      </m:oMathPara>
    </w:p>
    <w:p w14:paraId="417F14F3" w14:textId="77777777" w:rsidR="00070DFB" w:rsidRDefault="00070DFB" w:rsidP="00223096">
      <w:pPr>
        <w:tabs>
          <w:tab w:val="left" w:pos="851"/>
          <w:tab w:val="left" w:pos="1701"/>
        </w:tabs>
        <w:rPr>
          <w:rFonts w:cs="Arial"/>
          <w:sz w:val="16"/>
          <w:szCs w:val="16"/>
          <w:lang w:eastAsia="es-ES"/>
        </w:rPr>
      </w:pPr>
    </w:p>
    <w:p w14:paraId="4EFD122D" w14:textId="77777777" w:rsidR="006A7398" w:rsidRDefault="006A7398" w:rsidP="00223096">
      <w:pPr>
        <w:tabs>
          <w:tab w:val="left" w:pos="851"/>
          <w:tab w:val="left" w:pos="1701"/>
        </w:tabs>
        <w:rPr>
          <w:rFonts w:cs="Arial"/>
          <w:sz w:val="16"/>
          <w:szCs w:val="16"/>
          <w:lang w:eastAsia="es-ES"/>
        </w:rPr>
      </w:pPr>
    </w:p>
    <w:p w14:paraId="49DA7715" w14:textId="77777777" w:rsidR="008C0579" w:rsidRDefault="008C0579" w:rsidP="00223096">
      <w:pPr>
        <w:tabs>
          <w:tab w:val="left" w:pos="851"/>
          <w:tab w:val="left" w:pos="1701"/>
        </w:tabs>
        <w:rPr>
          <w:rFonts w:cs="Arial"/>
          <w:sz w:val="16"/>
          <w:szCs w:val="16"/>
          <w:lang w:eastAsia="es-ES"/>
        </w:rPr>
      </w:pPr>
    </w:p>
    <w:p w14:paraId="29C3DB03" w14:textId="77777777" w:rsidR="008C0579" w:rsidRDefault="008C0579" w:rsidP="00223096">
      <w:pPr>
        <w:tabs>
          <w:tab w:val="left" w:pos="851"/>
          <w:tab w:val="left" w:pos="1701"/>
        </w:tabs>
        <w:rPr>
          <w:rFonts w:cs="Arial"/>
          <w:sz w:val="16"/>
          <w:szCs w:val="16"/>
          <w:lang w:eastAsia="es-ES"/>
        </w:rPr>
      </w:pPr>
    </w:p>
    <w:p w14:paraId="6E69A4E2" w14:textId="77777777" w:rsidR="000D4CE9" w:rsidRDefault="000D4CE9" w:rsidP="00223096">
      <w:pPr>
        <w:tabs>
          <w:tab w:val="left" w:pos="851"/>
          <w:tab w:val="left" w:pos="1701"/>
        </w:tabs>
        <w:rPr>
          <w:rFonts w:cs="Arial"/>
          <w:b/>
          <w:sz w:val="16"/>
          <w:szCs w:val="16"/>
        </w:rPr>
      </w:pPr>
    </w:p>
    <w:p w14:paraId="17ACAE0F" w14:textId="588CC52E" w:rsidR="009F30D1" w:rsidRDefault="00FC2655" w:rsidP="00223096">
      <w:pPr>
        <w:tabs>
          <w:tab w:val="left" w:pos="851"/>
          <w:tab w:val="left" w:pos="1701"/>
        </w:tabs>
        <w:rPr>
          <w:rFonts w:cs="Arial"/>
          <w:b/>
          <w:sz w:val="16"/>
          <w:szCs w:val="16"/>
        </w:rPr>
      </w:pPr>
      <w:r w:rsidRPr="007C52FD">
        <w:rPr>
          <w:rFonts w:cs="Arial"/>
          <w:b/>
          <w:sz w:val="16"/>
          <w:szCs w:val="16"/>
        </w:rPr>
        <w:t>1.</w:t>
      </w:r>
      <w:r w:rsidR="001D7971">
        <w:rPr>
          <w:rFonts w:cs="Arial"/>
          <w:b/>
          <w:sz w:val="16"/>
          <w:szCs w:val="16"/>
        </w:rPr>
        <w:t>7</w:t>
      </w:r>
      <w:r w:rsidRPr="007C52FD">
        <w:rPr>
          <w:rFonts w:cs="Arial"/>
          <w:b/>
          <w:sz w:val="16"/>
          <w:szCs w:val="16"/>
        </w:rPr>
        <w:t xml:space="preserve"> </w:t>
      </w:r>
      <w:r w:rsidR="00D97161">
        <w:rPr>
          <w:rFonts w:cs="Arial"/>
          <w:b/>
          <w:sz w:val="16"/>
          <w:szCs w:val="16"/>
        </w:rPr>
        <w:t>Valor Nominal Efectivo (VNE)</w:t>
      </w:r>
    </w:p>
    <w:p w14:paraId="569E2866" w14:textId="77777777" w:rsidR="009D14D7" w:rsidRDefault="009D14D7" w:rsidP="00223096">
      <w:pPr>
        <w:tabs>
          <w:tab w:val="left" w:pos="851"/>
          <w:tab w:val="left" w:pos="1701"/>
        </w:tabs>
        <w:rPr>
          <w:rFonts w:cs="Arial"/>
          <w:b/>
          <w:sz w:val="16"/>
          <w:szCs w:val="16"/>
        </w:rPr>
      </w:pPr>
    </w:p>
    <w:p w14:paraId="0C80BEAE" w14:textId="6B64B90C" w:rsidR="00FC2655" w:rsidRDefault="009D14D7" w:rsidP="00223096">
      <w:pPr>
        <w:tabs>
          <w:tab w:val="left" w:pos="851"/>
          <w:tab w:val="left" w:pos="1701"/>
        </w:tabs>
        <w:rPr>
          <w:rFonts w:cs="Arial"/>
          <w:b/>
          <w:bCs/>
          <w:sz w:val="16"/>
          <w:szCs w:val="16"/>
          <w:lang w:eastAsia="es-ES"/>
        </w:rPr>
      </w:pPr>
      <w:r w:rsidRPr="00E95CF8">
        <w:rPr>
          <w:rFonts w:cs="Arial"/>
          <w:b/>
          <w:bCs/>
          <w:sz w:val="16"/>
          <w:szCs w:val="16"/>
          <w:lang w:eastAsia="es-ES"/>
        </w:rPr>
        <w:t>El Valor Nominal Efectivo (VNE) del instrumento financiero derivado</w:t>
      </w:r>
      <w:r w:rsidR="008B6B13">
        <w:rPr>
          <w:rFonts w:cs="Arial"/>
          <w:b/>
          <w:bCs/>
          <w:sz w:val="16"/>
          <w:szCs w:val="16"/>
          <w:lang w:eastAsia="es-ES"/>
        </w:rPr>
        <w:t xml:space="preserve"> e</w:t>
      </w:r>
      <w:r w:rsidRPr="00E95CF8">
        <w:rPr>
          <w:rFonts w:cs="Arial"/>
          <w:b/>
          <w:bCs/>
          <w:sz w:val="16"/>
          <w:szCs w:val="16"/>
          <w:lang w:eastAsia="es-ES"/>
        </w:rPr>
        <w:t xml:space="preserve">s una medida de sensibilidad en términos monetarios del contrato a movimientos en el valor de su respectivo subyacente. Su valor es expresado en pesos colombianos. </w:t>
      </w:r>
      <w:r w:rsidR="00FC2655" w:rsidRPr="00E95CF8">
        <w:rPr>
          <w:rFonts w:cs="Arial"/>
          <w:b/>
          <w:bCs/>
          <w:sz w:val="16"/>
          <w:szCs w:val="16"/>
          <w:lang w:eastAsia="es-ES"/>
        </w:rPr>
        <w:t xml:space="preserve">Si se encuentra denominado en una divisa diferente al dólar </w:t>
      </w:r>
      <w:r w:rsidR="000B2730">
        <w:rPr>
          <w:rFonts w:cs="Arial"/>
          <w:b/>
          <w:bCs/>
          <w:sz w:val="16"/>
          <w:szCs w:val="16"/>
          <w:lang w:eastAsia="es-ES"/>
        </w:rPr>
        <w:t>estadounidense</w:t>
      </w:r>
      <w:r w:rsidR="00FC2655" w:rsidRPr="00E95CF8">
        <w:rPr>
          <w:rFonts w:cs="Arial"/>
          <w:b/>
          <w:bCs/>
          <w:sz w:val="16"/>
          <w:szCs w:val="16"/>
          <w:lang w:eastAsia="es-ES"/>
        </w:rPr>
        <w:t>, se deben emplear las tasas de conversión de las divisas publicadas para el día del cálculo en la página de Internet del Banco Central Europeo, con seis (6) cifras decimales, aproximando el último número por el sistema de redondeo.</w:t>
      </w:r>
      <w:r w:rsidR="004F74F5">
        <w:rPr>
          <w:rFonts w:cs="Arial"/>
          <w:b/>
          <w:bCs/>
          <w:sz w:val="16"/>
          <w:szCs w:val="16"/>
          <w:lang w:eastAsia="es-ES"/>
        </w:rPr>
        <w:t xml:space="preserve"> </w:t>
      </w:r>
      <w:r w:rsidR="00FC2655" w:rsidRPr="00E95CF8">
        <w:rPr>
          <w:rFonts w:cs="Arial"/>
          <w:b/>
          <w:bCs/>
          <w:sz w:val="16"/>
          <w:szCs w:val="16"/>
          <w:lang w:eastAsia="es-ES"/>
        </w:rPr>
        <w:t xml:space="preserve">Cuando la tasa de conversión de la divisa no se encuentre en dicha página, se debe emplear la tasa de conversión frente al dólar </w:t>
      </w:r>
      <w:r w:rsidR="000B2730">
        <w:rPr>
          <w:rFonts w:cs="Arial"/>
          <w:b/>
          <w:bCs/>
          <w:sz w:val="16"/>
          <w:szCs w:val="16"/>
          <w:lang w:eastAsia="es-ES"/>
        </w:rPr>
        <w:t xml:space="preserve">estadounidense </w:t>
      </w:r>
      <w:r w:rsidR="00FC2655" w:rsidRPr="00E95CF8">
        <w:rPr>
          <w:rFonts w:cs="Arial"/>
          <w:b/>
          <w:bCs/>
          <w:sz w:val="16"/>
          <w:szCs w:val="16"/>
          <w:lang w:eastAsia="es-ES"/>
        </w:rPr>
        <w:t xml:space="preserve">publicada por el Banco Central del respectivo país. Las cifras en dólares </w:t>
      </w:r>
      <w:r w:rsidR="000B2730">
        <w:rPr>
          <w:rFonts w:cs="Arial"/>
          <w:b/>
          <w:bCs/>
          <w:sz w:val="16"/>
          <w:szCs w:val="16"/>
          <w:lang w:eastAsia="es-ES"/>
        </w:rPr>
        <w:t xml:space="preserve">estadounidenses </w:t>
      </w:r>
      <w:r w:rsidR="00FC2655" w:rsidRPr="00E95CF8">
        <w:rPr>
          <w:rFonts w:cs="Arial"/>
          <w:b/>
          <w:bCs/>
          <w:sz w:val="16"/>
          <w:szCs w:val="16"/>
          <w:lang w:eastAsia="es-ES"/>
        </w:rPr>
        <w:t xml:space="preserve">deben convertirse a pesos utilizando la Tasa de Cambio Representativa del Mercado (TRM) calculada por la SFC en esa misma fecha. </w:t>
      </w:r>
    </w:p>
    <w:p w14:paraId="0557C01B" w14:textId="55E84CD3" w:rsidR="00E15F55" w:rsidRPr="00E95CF8" w:rsidRDefault="00E15F55" w:rsidP="00223096">
      <w:pPr>
        <w:tabs>
          <w:tab w:val="left" w:pos="851"/>
          <w:tab w:val="left" w:pos="1701"/>
        </w:tabs>
        <w:rPr>
          <w:rFonts w:cs="Arial"/>
          <w:b/>
          <w:bCs/>
          <w:sz w:val="16"/>
          <w:szCs w:val="16"/>
        </w:rPr>
      </w:pPr>
    </w:p>
    <w:p w14:paraId="1AE881B0" w14:textId="0374136A" w:rsidR="00E15F55" w:rsidRPr="00E95CF8" w:rsidRDefault="00E15F55" w:rsidP="00223096">
      <w:pPr>
        <w:pStyle w:val="Prrafodelista"/>
        <w:numPr>
          <w:ilvl w:val="0"/>
          <w:numId w:val="42"/>
        </w:numPr>
        <w:tabs>
          <w:tab w:val="left" w:pos="851"/>
          <w:tab w:val="left" w:pos="1701"/>
        </w:tabs>
        <w:rPr>
          <w:rFonts w:cs="Arial"/>
          <w:b/>
          <w:bCs/>
          <w:sz w:val="16"/>
          <w:szCs w:val="16"/>
        </w:rPr>
      </w:pPr>
      <w:r w:rsidRPr="00E95CF8">
        <w:rPr>
          <w:rFonts w:cs="Arial"/>
          <w:b/>
          <w:bCs/>
          <w:sz w:val="16"/>
          <w:szCs w:val="16"/>
          <w:lang w:val="es-ES"/>
        </w:rPr>
        <w:t xml:space="preserve">Para contratos </w:t>
      </w:r>
      <w:r>
        <w:rPr>
          <w:rFonts w:cs="Arial"/>
          <w:b/>
          <w:bCs/>
          <w:sz w:val="16"/>
          <w:szCs w:val="16"/>
          <w:lang w:val="es-ES"/>
        </w:rPr>
        <w:t>denominado</w:t>
      </w:r>
      <w:r w:rsidR="00052BAA">
        <w:rPr>
          <w:rFonts w:cs="Arial"/>
          <w:b/>
          <w:bCs/>
          <w:sz w:val="16"/>
          <w:szCs w:val="16"/>
          <w:lang w:val="es-ES"/>
        </w:rPr>
        <w:t>s</w:t>
      </w:r>
      <w:r>
        <w:rPr>
          <w:rFonts w:cs="Arial"/>
          <w:b/>
          <w:bCs/>
          <w:sz w:val="16"/>
          <w:szCs w:val="16"/>
          <w:lang w:val="es-ES"/>
        </w:rPr>
        <w:t xml:space="preserve"> en moneda extranjera</w:t>
      </w:r>
      <w:r w:rsidRPr="00E95CF8">
        <w:rPr>
          <w:rFonts w:cs="Arial"/>
          <w:b/>
          <w:bCs/>
          <w:sz w:val="16"/>
          <w:szCs w:val="16"/>
          <w:lang w:val="es-ES"/>
        </w:rPr>
        <w:t xml:space="preserve">: </w:t>
      </w:r>
    </w:p>
    <w:p w14:paraId="64C40B29" w14:textId="77777777" w:rsidR="00E15F55" w:rsidRPr="00E95CF8" w:rsidRDefault="00E15F55" w:rsidP="00223096">
      <w:pPr>
        <w:pStyle w:val="Prrafodelista"/>
        <w:numPr>
          <w:ilvl w:val="1"/>
          <w:numId w:val="42"/>
        </w:numPr>
        <w:tabs>
          <w:tab w:val="left" w:pos="851"/>
          <w:tab w:val="left" w:pos="1701"/>
        </w:tabs>
        <w:rPr>
          <w:rFonts w:cs="Arial"/>
          <w:b/>
          <w:bCs/>
          <w:sz w:val="16"/>
          <w:szCs w:val="16"/>
        </w:rPr>
      </w:pPr>
      <w:r w:rsidRPr="00E95CF8">
        <w:rPr>
          <w:rFonts w:cs="Arial"/>
          <w:b/>
          <w:bCs/>
          <w:sz w:val="16"/>
          <w:szCs w:val="16"/>
        </w:rPr>
        <w:t xml:space="preserve">Si una pata del contrato está en pesos colombianos, utilizar el Valor Nominal de la pata en pesos colombianos. </w:t>
      </w:r>
    </w:p>
    <w:p w14:paraId="4FED1602" w14:textId="77777777" w:rsidR="00E15F55" w:rsidRPr="00E95CF8" w:rsidRDefault="00E15F55" w:rsidP="00223096">
      <w:pPr>
        <w:pStyle w:val="Prrafodelista"/>
        <w:numPr>
          <w:ilvl w:val="1"/>
          <w:numId w:val="42"/>
        </w:numPr>
        <w:tabs>
          <w:tab w:val="left" w:pos="851"/>
          <w:tab w:val="left" w:pos="1701"/>
        </w:tabs>
        <w:rPr>
          <w:rFonts w:cs="Arial"/>
          <w:b/>
          <w:bCs/>
          <w:sz w:val="16"/>
          <w:szCs w:val="16"/>
        </w:rPr>
      </w:pPr>
      <w:r w:rsidRPr="00E95CF8">
        <w:rPr>
          <w:rFonts w:cs="Arial"/>
          <w:b/>
          <w:bCs/>
          <w:sz w:val="16"/>
          <w:szCs w:val="16"/>
        </w:rPr>
        <w:t>Si ambas patas del contrato están en monedas extranjeras, convertir ambos nominales en pesos y utilizar el nominal mayor.</w:t>
      </w:r>
    </w:p>
    <w:p w14:paraId="55723D11" w14:textId="77777777" w:rsidR="00E15F55" w:rsidRPr="00E95CF8" w:rsidRDefault="00E15F55" w:rsidP="00223096">
      <w:pPr>
        <w:pStyle w:val="Prrafodelista"/>
        <w:numPr>
          <w:ilvl w:val="0"/>
          <w:numId w:val="42"/>
        </w:numPr>
        <w:tabs>
          <w:tab w:val="left" w:pos="851"/>
          <w:tab w:val="left" w:pos="1701"/>
        </w:tabs>
        <w:rPr>
          <w:rFonts w:cs="Arial"/>
          <w:b/>
          <w:bCs/>
          <w:sz w:val="16"/>
          <w:szCs w:val="16"/>
        </w:rPr>
      </w:pPr>
      <w:r w:rsidRPr="00E95CF8">
        <w:rPr>
          <w:rFonts w:cs="Arial"/>
          <w:b/>
          <w:bCs/>
          <w:sz w:val="16"/>
          <w:szCs w:val="16"/>
        </w:rPr>
        <w:t xml:space="preserve">Para contratos con subyacentes de Acciones y </w:t>
      </w:r>
      <w:proofErr w:type="spellStart"/>
      <w:r w:rsidRPr="00E95CF8">
        <w:rPr>
          <w:rFonts w:cs="Arial"/>
          <w:b/>
          <w:bCs/>
          <w:i/>
          <w:sz w:val="16"/>
          <w:szCs w:val="16"/>
        </w:rPr>
        <w:t>commodities</w:t>
      </w:r>
      <w:proofErr w:type="spellEnd"/>
      <w:r w:rsidRPr="00E95CF8">
        <w:rPr>
          <w:rFonts w:cs="Arial"/>
          <w:b/>
          <w:bCs/>
          <w:sz w:val="16"/>
          <w:szCs w:val="16"/>
        </w:rPr>
        <w:t xml:space="preserve">, utilizar el Valor Nominal en pesos colombianos que corresponde a la multiplicación del número de acciones o unidades por el precio de mercado de </w:t>
      </w:r>
      <w:proofErr w:type="gramStart"/>
      <w:r w:rsidRPr="00E95CF8">
        <w:rPr>
          <w:rFonts w:cs="Arial"/>
          <w:b/>
          <w:bCs/>
          <w:sz w:val="16"/>
          <w:szCs w:val="16"/>
        </w:rPr>
        <w:t>las mismas</w:t>
      </w:r>
      <w:proofErr w:type="gramEnd"/>
      <w:r>
        <w:rPr>
          <w:rFonts w:cs="Arial"/>
          <w:b/>
          <w:bCs/>
          <w:sz w:val="16"/>
          <w:szCs w:val="16"/>
        </w:rPr>
        <w:t xml:space="preserve"> y por la respectiva tasa de cambio en caso de que el precio esté denominado en una moneda diferente al peso</w:t>
      </w:r>
      <w:r w:rsidRPr="00E95CF8">
        <w:rPr>
          <w:rFonts w:cs="Arial"/>
          <w:b/>
          <w:bCs/>
          <w:sz w:val="16"/>
          <w:szCs w:val="16"/>
        </w:rPr>
        <w:t>.</w:t>
      </w:r>
    </w:p>
    <w:p w14:paraId="421FC2B9" w14:textId="77777777" w:rsidR="007C52FD" w:rsidRPr="00E95CF8" w:rsidRDefault="007C52FD" w:rsidP="00223096">
      <w:pPr>
        <w:tabs>
          <w:tab w:val="left" w:pos="851"/>
          <w:tab w:val="left" w:pos="1701"/>
        </w:tabs>
        <w:rPr>
          <w:rFonts w:cs="Arial"/>
          <w:b/>
          <w:bCs/>
          <w:sz w:val="16"/>
          <w:szCs w:val="16"/>
        </w:rPr>
      </w:pPr>
    </w:p>
    <w:p w14:paraId="577DFECF" w14:textId="2290042E" w:rsidR="009D14D7" w:rsidRPr="00E95CF8" w:rsidRDefault="004734BE" w:rsidP="00223096">
      <w:pPr>
        <w:tabs>
          <w:tab w:val="left" w:pos="851"/>
          <w:tab w:val="left" w:pos="1701"/>
        </w:tabs>
        <w:rPr>
          <w:rFonts w:cs="Arial"/>
          <w:b/>
          <w:bCs/>
          <w:sz w:val="16"/>
          <w:szCs w:val="16"/>
        </w:rPr>
      </w:pPr>
      <w:r w:rsidRPr="00E95CF8">
        <w:rPr>
          <w:rFonts w:cs="Arial"/>
          <w:b/>
          <w:bCs/>
          <w:sz w:val="16"/>
          <w:szCs w:val="16"/>
        </w:rPr>
        <w:t>Para el cálculo de la VNE</w:t>
      </w:r>
      <w:r w:rsidR="004A0A8A" w:rsidRPr="00E95CF8">
        <w:rPr>
          <w:rFonts w:cs="Arial"/>
          <w:b/>
          <w:bCs/>
          <w:sz w:val="16"/>
          <w:szCs w:val="16"/>
        </w:rPr>
        <w:t xml:space="preserve"> para cada contrato derivado</w:t>
      </w:r>
      <w:r w:rsidRPr="00E95CF8">
        <w:rPr>
          <w:rFonts w:cs="Arial"/>
          <w:b/>
          <w:bCs/>
          <w:sz w:val="16"/>
          <w:szCs w:val="16"/>
        </w:rPr>
        <w:t xml:space="preserve">, se </w:t>
      </w:r>
      <w:r w:rsidR="007E6693" w:rsidRPr="00E95CF8">
        <w:rPr>
          <w:rFonts w:cs="Arial"/>
          <w:b/>
          <w:bCs/>
          <w:sz w:val="16"/>
          <w:szCs w:val="16"/>
        </w:rPr>
        <w:t xml:space="preserve">debe </w:t>
      </w:r>
      <w:r w:rsidRPr="00E95CF8">
        <w:rPr>
          <w:rFonts w:cs="Arial"/>
          <w:b/>
          <w:bCs/>
          <w:sz w:val="16"/>
          <w:szCs w:val="16"/>
        </w:rPr>
        <w:t xml:space="preserve">aplicar la siguiente </w:t>
      </w:r>
      <w:r w:rsidR="00BA6E8E" w:rsidRPr="00E95CF8">
        <w:rPr>
          <w:rFonts w:cs="Arial"/>
          <w:b/>
          <w:bCs/>
          <w:sz w:val="16"/>
          <w:szCs w:val="16"/>
        </w:rPr>
        <w:t xml:space="preserve">fórmula, realizando los ajustes </w:t>
      </w:r>
      <w:r w:rsidR="00E503A0" w:rsidRPr="00E95CF8">
        <w:rPr>
          <w:rFonts w:cs="Arial"/>
          <w:b/>
          <w:bCs/>
          <w:sz w:val="16"/>
          <w:szCs w:val="16"/>
        </w:rPr>
        <w:t xml:space="preserve">por tipo de subyacente </w:t>
      </w:r>
      <w:r w:rsidR="00BA6E8E" w:rsidRPr="00E95CF8">
        <w:rPr>
          <w:rFonts w:cs="Arial"/>
          <w:b/>
          <w:bCs/>
          <w:sz w:val="16"/>
          <w:szCs w:val="16"/>
        </w:rPr>
        <w:t xml:space="preserve">de acuerdo con </w:t>
      </w:r>
      <w:r w:rsidR="00432D08" w:rsidRPr="00E95CF8">
        <w:rPr>
          <w:rFonts w:cs="Arial"/>
          <w:b/>
          <w:bCs/>
          <w:sz w:val="16"/>
          <w:szCs w:val="16"/>
        </w:rPr>
        <w:t>los</w:t>
      </w:r>
      <w:r w:rsidR="00E503A0" w:rsidRPr="00E95CF8">
        <w:rPr>
          <w:rFonts w:cs="Arial"/>
          <w:b/>
          <w:bCs/>
          <w:sz w:val="16"/>
          <w:szCs w:val="16"/>
        </w:rPr>
        <w:t xml:space="preserve"> </w:t>
      </w:r>
      <w:r w:rsidR="000B2730">
        <w:rPr>
          <w:rFonts w:cs="Arial"/>
          <w:b/>
          <w:bCs/>
          <w:sz w:val="16"/>
          <w:szCs w:val="16"/>
        </w:rPr>
        <w:t>sub</w:t>
      </w:r>
      <w:r w:rsidR="00E503A0" w:rsidRPr="00E95CF8">
        <w:rPr>
          <w:rFonts w:cs="Arial"/>
          <w:b/>
          <w:bCs/>
          <w:sz w:val="16"/>
          <w:szCs w:val="16"/>
        </w:rPr>
        <w:t>numeral</w:t>
      </w:r>
      <w:r w:rsidR="00432D08" w:rsidRPr="00E95CF8">
        <w:rPr>
          <w:rFonts w:cs="Arial"/>
          <w:b/>
          <w:bCs/>
          <w:sz w:val="16"/>
          <w:szCs w:val="16"/>
        </w:rPr>
        <w:t>es</w:t>
      </w:r>
      <w:r w:rsidR="00E503A0" w:rsidRPr="00E95CF8">
        <w:rPr>
          <w:rFonts w:cs="Arial"/>
          <w:b/>
          <w:bCs/>
          <w:sz w:val="16"/>
          <w:szCs w:val="16"/>
        </w:rPr>
        <w:t xml:space="preserve"> 1.</w:t>
      </w:r>
      <w:r w:rsidR="00D532CC" w:rsidRPr="00E95CF8">
        <w:rPr>
          <w:rFonts w:cs="Arial"/>
          <w:b/>
          <w:bCs/>
          <w:sz w:val="16"/>
          <w:szCs w:val="16"/>
        </w:rPr>
        <w:t>7</w:t>
      </w:r>
      <w:r w:rsidR="00E503A0" w:rsidRPr="00E95CF8">
        <w:rPr>
          <w:rFonts w:cs="Arial"/>
          <w:b/>
          <w:bCs/>
          <w:sz w:val="16"/>
          <w:szCs w:val="16"/>
        </w:rPr>
        <w:t>.1</w:t>
      </w:r>
      <w:r w:rsidR="00432D08" w:rsidRPr="00E95CF8">
        <w:rPr>
          <w:rFonts w:cs="Arial"/>
          <w:b/>
          <w:bCs/>
          <w:sz w:val="16"/>
          <w:szCs w:val="16"/>
        </w:rPr>
        <w:t xml:space="preserve"> a 1.</w:t>
      </w:r>
      <w:r w:rsidR="00B4460A" w:rsidRPr="00E95CF8">
        <w:rPr>
          <w:rFonts w:cs="Arial"/>
          <w:b/>
          <w:bCs/>
          <w:sz w:val="16"/>
          <w:szCs w:val="16"/>
        </w:rPr>
        <w:t>7</w:t>
      </w:r>
      <w:r w:rsidR="00432D08" w:rsidRPr="00E95CF8">
        <w:rPr>
          <w:rFonts w:cs="Arial"/>
          <w:b/>
          <w:bCs/>
          <w:sz w:val="16"/>
          <w:szCs w:val="16"/>
        </w:rPr>
        <w:t>.</w:t>
      </w:r>
      <w:r w:rsidR="00DA6B43" w:rsidRPr="00E95CF8">
        <w:rPr>
          <w:rFonts w:cs="Arial"/>
          <w:b/>
          <w:bCs/>
          <w:sz w:val="16"/>
          <w:szCs w:val="16"/>
        </w:rPr>
        <w:t>2</w:t>
      </w:r>
      <w:r w:rsidR="00E503A0" w:rsidRPr="00E95CF8">
        <w:rPr>
          <w:rFonts w:cs="Arial"/>
          <w:b/>
          <w:bCs/>
          <w:sz w:val="16"/>
          <w:szCs w:val="16"/>
        </w:rPr>
        <w:t xml:space="preserve">. </w:t>
      </w:r>
    </w:p>
    <w:p w14:paraId="1DD84900" w14:textId="0D7536C1" w:rsidR="00E503A0" w:rsidRPr="00E95CF8" w:rsidRDefault="00E503A0" w:rsidP="00223096">
      <w:pPr>
        <w:tabs>
          <w:tab w:val="left" w:pos="851"/>
          <w:tab w:val="left" w:pos="1701"/>
        </w:tabs>
        <w:rPr>
          <w:rFonts w:cs="Arial"/>
          <w:b/>
          <w:bCs/>
          <w:sz w:val="16"/>
          <w:szCs w:val="16"/>
        </w:rPr>
      </w:pPr>
    </w:p>
    <w:p w14:paraId="34D30C50" w14:textId="61F8BE19" w:rsidR="00E503A0" w:rsidRPr="00E95CF8" w:rsidRDefault="00E95CF8" w:rsidP="00223096">
      <w:pPr>
        <w:tabs>
          <w:tab w:val="left" w:pos="851"/>
          <w:tab w:val="left" w:pos="1701"/>
        </w:tabs>
        <w:jc w:val="center"/>
        <w:rPr>
          <w:rFonts w:cs="Arial"/>
          <w:b/>
          <w:bCs/>
          <w:sz w:val="16"/>
          <w:szCs w:val="16"/>
        </w:rPr>
      </w:pPr>
      <m:oMath>
        <m:r>
          <m:rPr>
            <m:sty m:val="bi"/>
          </m:rPr>
          <w:rPr>
            <w:rFonts w:ascii="Cambria Math" w:hAnsi="Cambria Math" w:cs="Arial"/>
            <w:sz w:val="16"/>
            <w:szCs w:val="16"/>
          </w:rPr>
          <m:t xml:space="preserve">VNE=VNA* δ*T </m:t>
        </m:r>
      </m:oMath>
      <w:r w:rsidR="00E503A0" w:rsidRPr="00E95CF8">
        <w:rPr>
          <w:rFonts w:cs="Arial"/>
          <w:b/>
          <w:bCs/>
          <w:sz w:val="16"/>
          <w:szCs w:val="16"/>
        </w:rPr>
        <w:t xml:space="preserve">, donde, </w:t>
      </w:r>
    </w:p>
    <w:p w14:paraId="1F8C28B7" w14:textId="77777777" w:rsidR="00E503A0" w:rsidRPr="00E95CF8" w:rsidRDefault="00E503A0" w:rsidP="00223096">
      <w:pPr>
        <w:tabs>
          <w:tab w:val="left" w:pos="851"/>
          <w:tab w:val="left" w:pos="1701"/>
        </w:tabs>
        <w:rPr>
          <w:rFonts w:cs="Arial"/>
          <w:b/>
          <w:bCs/>
          <w:sz w:val="16"/>
          <w:szCs w:val="16"/>
        </w:rPr>
      </w:pPr>
    </w:p>
    <w:p w14:paraId="5F02AB2D" w14:textId="63B8F471" w:rsidR="00E503A0" w:rsidRPr="00E95CF8" w:rsidRDefault="00E503A0" w:rsidP="00223096">
      <w:pPr>
        <w:tabs>
          <w:tab w:val="left" w:pos="851"/>
          <w:tab w:val="left" w:pos="1701"/>
        </w:tabs>
        <w:ind w:left="8" w:hanging="8"/>
        <w:rPr>
          <w:rFonts w:cs="Arial"/>
          <w:b/>
          <w:bCs/>
          <w:sz w:val="16"/>
          <w:szCs w:val="16"/>
          <w:lang w:eastAsia="es-ES"/>
        </w:rPr>
      </w:pPr>
      <w:r w:rsidRPr="00E95CF8">
        <w:rPr>
          <w:rFonts w:cs="Arial"/>
          <w:b/>
          <w:bCs/>
          <w:sz w:val="16"/>
          <w:szCs w:val="16"/>
        </w:rPr>
        <w:t>VN</w:t>
      </w:r>
      <w:r w:rsidR="00D97161" w:rsidRPr="00E95CF8">
        <w:rPr>
          <w:rFonts w:cs="Arial"/>
          <w:b/>
          <w:bCs/>
          <w:sz w:val="16"/>
          <w:szCs w:val="16"/>
        </w:rPr>
        <w:t>A</w:t>
      </w:r>
      <w:r w:rsidRPr="00E95CF8">
        <w:rPr>
          <w:rFonts w:cs="Arial"/>
          <w:b/>
          <w:bCs/>
          <w:sz w:val="16"/>
          <w:szCs w:val="16"/>
        </w:rPr>
        <w:t xml:space="preserve">: </w:t>
      </w:r>
      <w:r w:rsidRPr="00E95CF8">
        <w:rPr>
          <w:rFonts w:cs="Arial"/>
          <w:b/>
          <w:bCs/>
          <w:sz w:val="16"/>
          <w:szCs w:val="16"/>
          <w:lang w:eastAsia="es-ES"/>
        </w:rPr>
        <w:t xml:space="preserve">Valor </w:t>
      </w:r>
      <w:r w:rsidR="00257565" w:rsidRPr="00E95CF8">
        <w:rPr>
          <w:rFonts w:cs="Arial"/>
          <w:b/>
          <w:bCs/>
          <w:sz w:val="16"/>
          <w:szCs w:val="16"/>
          <w:lang w:eastAsia="es-ES"/>
        </w:rPr>
        <w:t>N</w:t>
      </w:r>
      <w:r w:rsidRPr="00E95CF8">
        <w:rPr>
          <w:rFonts w:cs="Arial"/>
          <w:b/>
          <w:bCs/>
          <w:sz w:val="16"/>
          <w:szCs w:val="16"/>
          <w:lang w:eastAsia="es-ES"/>
        </w:rPr>
        <w:t>ominal</w:t>
      </w:r>
      <w:r w:rsidR="00D97161" w:rsidRPr="00E95CF8">
        <w:rPr>
          <w:rFonts w:cs="Arial"/>
          <w:b/>
          <w:bCs/>
          <w:sz w:val="16"/>
          <w:szCs w:val="16"/>
          <w:lang w:eastAsia="es-ES"/>
        </w:rPr>
        <w:t xml:space="preserve"> </w:t>
      </w:r>
      <w:r w:rsidR="00007C2B" w:rsidRPr="00E95CF8">
        <w:rPr>
          <w:rFonts w:cs="Arial"/>
          <w:b/>
          <w:bCs/>
          <w:sz w:val="16"/>
          <w:szCs w:val="16"/>
          <w:lang w:eastAsia="es-ES"/>
        </w:rPr>
        <w:t>A</w:t>
      </w:r>
      <w:r w:rsidR="00D97161" w:rsidRPr="00E95CF8">
        <w:rPr>
          <w:rFonts w:cs="Arial"/>
          <w:b/>
          <w:bCs/>
          <w:sz w:val="16"/>
          <w:szCs w:val="16"/>
          <w:lang w:eastAsia="es-ES"/>
        </w:rPr>
        <w:t>justado</w:t>
      </w:r>
      <w:r w:rsidRPr="00E95CF8">
        <w:rPr>
          <w:rFonts w:cs="Arial"/>
          <w:b/>
          <w:bCs/>
          <w:sz w:val="16"/>
          <w:szCs w:val="16"/>
          <w:lang w:eastAsia="es-ES"/>
        </w:rPr>
        <w:t xml:space="preserve"> del instrumento financiero derivado, expresado en pesos colombianos, utilizando las mismas conversiones de moneda descritas anteriormente.</w:t>
      </w:r>
      <w:r w:rsidR="00D97161" w:rsidRPr="00E95CF8">
        <w:rPr>
          <w:rFonts w:cs="Arial"/>
          <w:b/>
          <w:bCs/>
          <w:sz w:val="16"/>
          <w:szCs w:val="16"/>
          <w:lang w:eastAsia="es-ES"/>
        </w:rPr>
        <w:t xml:space="preserve"> El cálculo varía de acuerdo con el tipo de subyacente del contrato, </w:t>
      </w:r>
      <w:r w:rsidR="000B2730">
        <w:rPr>
          <w:rFonts w:cs="Arial"/>
          <w:b/>
          <w:bCs/>
          <w:sz w:val="16"/>
          <w:szCs w:val="16"/>
          <w:lang w:eastAsia="es-ES"/>
        </w:rPr>
        <w:t>considerando</w:t>
      </w:r>
      <w:r w:rsidR="00D97161" w:rsidRPr="00E95CF8">
        <w:rPr>
          <w:rFonts w:cs="Arial"/>
          <w:b/>
          <w:bCs/>
          <w:sz w:val="16"/>
          <w:szCs w:val="16"/>
          <w:lang w:eastAsia="es-ES"/>
        </w:rPr>
        <w:t xml:space="preserve"> los </w:t>
      </w:r>
      <w:r w:rsidR="000B2730">
        <w:rPr>
          <w:rFonts w:cs="Arial"/>
          <w:b/>
          <w:bCs/>
          <w:sz w:val="16"/>
          <w:szCs w:val="16"/>
          <w:lang w:eastAsia="es-ES"/>
        </w:rPr>
        <w:t>sub</w:t>
      </w:r>
      <w:r w:rsidR="00D97161" w:rsidRPr="00E95CF8">
        <w:rPr>
          <w:rFonts w:cs="Arial"/>
          <w:b/>
          <w:bCs/>
          <w:sz w:val="16"/>
          <w:szCs w:val="16"/>
          <w:lang w:eastAsia="es-ES"/>
        </w:rPr>
        <w:t>numerales 1.</w:t>
      </w:r>
      <w:r w:rsidR="00B07FB9" w:rsidRPr="00E95CF8">
        <w:rPr>
          <w:rFonts w:cs="Arial"/>
          <w:b/>
          <w:bCs/>
          <w:sz w:val="16"/>
          <w:szCs w:val="16"/>
          <w:lang w:eastAsia="es-ES"/>
        </w:rPr>
        <w:t>7</w:t>
      </w:r>
      <w:r w:rsidR="00D97161" w:rsidRPr="00E95CF8">
        <w:rPr>
          <w:rFonts w:cs="Arial"/>
          <w:b/>
          <w:bCs/>
          <w:sz w:val="16"/>
          <w:szCs w:val="16"/>
          <w:lang w:eastAsia="es-ES"/>
        </w:rPr>
        <w:t>.1</w:t>
      </w:r>
      <w:r w:rsidR="00D273CD" w:rsidRPr="00E95CF8">
        <w:rPr>
          <w:rFonts w:cs="Arial"/>
          <w:b/>
          <w:bCs/>
          <w:sz w:val="16"/>
          <w:szCs w:val="16"/>
          <w:lang w:eastAsia="es-ES"/>
        </w:rPr>
        <w:t xml:space="preserve"> y </w:t>
      </w:r>
      <w:r w:rsidR="00D97161" w:rsidRPr="00E95CF8">
        <w:rPr>
          <w:rFonts w:cs="Arial"/>
          <w:b/>
          <w:bCs/>
          <w:sz w:val="16"/>
          <w:szCs w:val="16"/>
          <w:lang w:eastAsia="es-ES"/>
        </w:rPr>
        <w:t>1.</w:t>
      </w:r>
      <w:r w:rsidR="00B07FB9" w:rsidRPr="00E95CF8">
        <w:rPr>
          <w:rFonts w:cs="Arial"/>
          <w:b/>
          <w:bCs/>
          <w:sz w:val="16"/>
          <w:szCs w:val="16"/>
          <w:lang w:eastAsia="es-ES"/>
        </w:rPr>
        <w:t>7</w:t>
      </w:r>
      <w:r w:rsidR="00D97161" w:rsidRPr="00E95CF8">
        <w:rPr>
          <w:rFonts w:cs="Arial"/>
          <w:b/>
          <w:bCs/>
          <w:sz w:val="16"/>
          <w:szCs w:val="16"/>
          <w:lang w:eastAsia="es-ES"/>
        </w:rPr>
        <w:t>.</w:t>
      </w:r>
      <w:r w:rsidR="00D273CD" w:rsidRPr="00E95CF8">
        <w:rPr>
          <w:rFonts w:cs="Arial"/>
          <w:b/>
          <w:bCs/>
          <w:sz w:val="16"/>
          <w:szCs w:val="16"/>
          <w:lang w:eastAsia="es-ES"/>
        </w:rPr>
        <w:t>2</w:t>
      </w:r>
      <w:r w:rsidR="00D97161" w:rsidRPr="00E95CF8">
        <w:rPr>
          <w:rFonts w:cs="Arial"/>
          <w:b/>
          <w:bCs/>
          <w:sz w:val="16"/>
          <w:szCs w:val="16"/>
          <w:lang w:eastAsia="es-ES"/>
        </w:rPr>
        <w:t xml:space="preserve"> </w:t>
      </w:r>
      <w:r w:rsidRPr="00E95CF8">
        <w:rPr>
          <w:rFonts w:cs="Arial"/>
          <w:b/>
          <w:bCs/>
          <w:sz w:val="16"/>
          <w:szCs w:val="16"/>
          <w:lang w:eastAsia="es-ES"/>
        </w:rPr>
        <w:t xml:space="preserve"> </w:t>
      </w:r>
    </w:p>
    <w:p w14:paraId="046DCE1E" w14:textId="77777777" w:rsidR="00E503A0" w:rsidRPr="00E95CF8" w:rsidRDefault="00E503A0" w:rsidP="00223096">
      <w:pPr>
        <w:tabs>
          <w:tab w:val="left" w:pos="851"/>
          <w:tab w:val="left" w:pos="1701"/>
        </w:tabs>
        <w:rPr>
          <w:rFonts w:cs="Arial"/>
          <w:b/>
          <w:bCs/>
          <w:sz w:val="16"/>
          <w:szCs w:val="16"/>
          <w:lang w:eastAsia="es-ES"/>
        </w:rPr>
      </w:pPr>
    </w:p>
    <w:p w14:paraId="0389168A" w14:textId="3DB3035C" w:rsidR="00E503A0" w:rsidRPr="00E95CF8" w:rsidRDefault="00E95CF8" w:rsidP="00223096">
      <w:pPr>
        <w:tabs>
          <w:tab w:val="left" w:pos="851"/>
          <w:tab w:val="left" w:pos="1701"/>
        </w:tabs>
        <w:rPr>
          <w:rFonts w:cs="Arial"/>
          <w:b/>
          <w:bCs/>
          <w:sz w:val="16"/>
          <w:szCs w:val="16"/>
        </w:rPr>
      </w:pPr>
      <m:oMath>
        <m:r>
          <m:rPr>
            <m:sty m:val="bi"/>
          </m:rPr>
          <w:rPr>
            <w:rFonts w:ascii="Cambria Math" w:hAnsi="Cambria Math" w:cs="Arial"/>
            <w:sz w:val="16"/>
            <w:szCs w:val="16"/>
          </w:rPr>
          <m:t>δ</m:t>
        </m:r>
      </m:oMath>
      <w:r w:rsidR="00E503A0" w:rsidRPr="00E95CF8">
        <w:rPr>
          <w:rFonts w:cs="Arial"/>
          <w:b/>
          <w:bCs/>
          <w:sz w:val="16"/>
          <w:szCs w:val="16"/>
        </w:rPr>
        <w:t xml:space="preserve"> (Delta): Ajuste al valor nominal para capturar la magnitud del impacto y la dirección ante un cambio en el factor de riesgo correspondiente. Este factor de ajuste dependerá del tipo de derivado: </w:t>
      </w:r>
    </w:p>
    <w:p w14:paraId="3D32641B" w14:textId="77777777" w:rsidR="00E503A0" w:rsidRPr="00E95CF8" w:rsidRDefault="00E503A0" w:rsidP="00223096">
      <w:pPr>
        <w:tabs>
          <w:tab w:val="left" w:pos="851"/>
          <w:tab w:val="left" w:pos="1701"/>
        </w:tabs>
        <w:rPr>
          <w:rFonts w:cs="Arial"/>
          <w:b/>
          <w:bCs/>
          <w:sz w:val="16"/>
          <w:szCs w:val="16"/>
        </w:rPr>
      </w:pPr>
    </w:p>
    <w:p w14:paraId="51372D95" w14:textId="77777777" w:rsidR="00E503A0" w:rsidRPr="00E95CF8" w:rsidRDefault="00E503A0" w:rsidP="00223096">
      <w:pPr>
        <w:tabs>
          <w:tab w:val="left" w:pos="851"/>
          <w:tab w:val="left" w:pos="1701"/>
        </w:tabs>
        <w:rPr>
          <w:rFonts w:cs="Arial"/>
          <w:b/>
          <w:bCs/>
          <w:sz w:val="16"/>
          <w:szCs w:val="16"/>
        </w:rPr>
      </w:pPr>
      <w:r w:rsidRPr="00E95CF8">
        <w:rPr>
          <w:rFonts w:cs="Arial"/>
          <w:b/>
          <w:bCs/>
          <w:sz w:val="16"/>
          <w:szCs w:val="16"/>
        </w:rPr>
        <w:t xml:space="preserve">Para instrumentos sin opcionalidad: </w:t>
      </w:r>
    </w:p>
    <w:p w14:paraId="4CDC9BCC" w14:textId="677342A8" w:rsidR="00E503A0" w:rsidRPr="00E95CF8" w:rsidRDefault="00E503A0" w:rsidP="00223096">
      <w:pPr>
        <w:tabs>
          <w:tab w:val="left" w:pos="851"/>
          <w:tab w:val="left" w:pos="1701"/>
        </w:tabs>
        <w:rPr>
          <w:rFonts w:cs="Arial"/>
          <w:b/>
          <w:bCs/>
          <w:sz w:val="16"/>
          <w:szCs w:val="16"/>
        </w:rPr>
      </w:pPr>
    </w:p>
    <w:p w14:paraId="4651C5D0" w14:textId="49E0E86D" w:rsidR="00E503A0" w:rsidRPr="00E95CF8" w:rsidRDefault="00E503A0" w:rsidP="00223096">
      <w:pPr>
        <w:pStyle w:val="Prrafodelista"/>
        <w:numPr>
          <w:ilvl w:val="0"/>
          <w:numId w:val="38"/>
        </w:numPr>
        <w:tabs>
          <w:tab w:val="left" w:pos="851"/>
          <w:tab w:val="left" w:pos="1701"/>
        </w:tabs>
        <w:rPr>
          <w:rFonts w:cs="Arial"/>
          <w:b/>
          <w:bCs/>
          <w:sz w:val="16"/>
          <w:szCs w:val="16"/>
          <w:lang w:eastAsia="es-ES"/>
        </w:rPr>
      </w:pPr>
      <w:r w:rsidRPr="00E95CF8">
        <w:rPr>
          <w:rFonts w:cs="Arial"/>
          <w:b/>
          <w:bCs/>
          <w:sz w:val="16"/>
          <w:szCs w:val="16"/>
        </w:rPr>
        <w:t>Para posiciones largas = +1</w:t>
      </w:r>
      <w:r w:rsidR="000B2730">
        <w:rPr>
          <w:rFonts w:cs="Arial"/>
          <w:b/>
          <w:bCs/>
          <w:sz w:val="16"/>
          <w:szCs w:val="16"/>
        </w:rPr>
        <w:t>.</w:t>
      </w:r>
    </w:p>
    <w:p w14:paraId="4A1E9B32" w14:textId="44BC951A" w:rsidR="00E503A0" w:rsidRPr="00E95CF8" w:rsidRDefault="00E503A0" w:rsidP="00223096">
      <w:pPr>
        <w:pStyle w:val="Prrafodelista"/>
        <w:numPr>
          <w:ilvl w:val="0"/>
          <w:numId w:val="38"/>
        </w:numPr>
        <w:tabs>
          <w:tab w:val="left" w:pos="851"/>
          <w:tab w:val="left" w:pos="1701"/>
        </w:tabs>
        <w:rPr>
          <w:rFonts w:cs="Arial"/>
          <w:b/>
          <w:bCs/>
          <w:sz w:val="16"/>
          <w:szCs w:val="16"/>
          <w:lang w:eastAsia="es-ES"/>
        </w:rPr>
      </w:pPr>
      <w:r w:rsidRPr="00E95CF8">
        <w:rPr>
          <w:rFonts w:cs="Arial"/>
          <w:b/>
          <w:bCs/>
          <w:sz w:val="16"/>
          <w:szCs w:val="16"/>
        </w:rPr>
        <w:t xml:space="preserve">Para posiciones cortas = -1. </w:t>
      </w:r>
    </w:p>
    <w:p w14:paraId="1334B6D1" w14:textId="77777777" w:rsidR="00E503A0" w:rsidRPr="00E95CF8" w:rsidRDefault="00E503A0" w:rsidP="00223096">
      <w:pPr>
        <w:tabs>
          <w:tab w:val="left" w:pos="851"/>
          <w:tab w:val="left" w:pos="1701"/>
        </w:tabs>
        <w:ind w:left="8" w:hanging="8"/>
        <w:rPr>
          <w:rFonts w:cs="Arial"/>
          <w:b/>
          <w:bCs/>
          <w:sz w:val="16"/>
          <w:szCs w:val="16"/>
        </w:rPr>
      </w:pPr>
    </w:p>
    <w:p w14:paraId="219E4A22" w14:textId="5C20EA1A" w:rsidR="00E503A0" w:rsidRPr="00E95CF8" w:rsidRDefault="00E503A0" w:rsidP="00223096">
      <w:pPr>
        <w:tabs>
          <w:tab w:val="left" w:pos="851"/>
          <w:tab w:val="left" w:pos="1701"/>
        </w:tabs>
        <w:ind w:left="8" w:hanging="8"/>
        <w:rPr>
          <w:rFonts w:cs="Arial"/>
          <w:b/>
          <w:bCs/>
          <w:sz w:val="16"/>
          <w:szCs w:val="16"/>
        </w:rPr>
      </w:pPr>
      <w:r w:rsidRPr="00E95CF8">
        <w:rPr>
          <w:rFonts w:cs="Arial"/>
          <w:b/>
          <w:bCs/>
          <w:sz w:val="16"/>
          <w:szCs w:val="16"/>
        </w:rPr>
        <w:t xml:space="preserve">Para instrumentos con opcionalidad, utilizar el factor de sensibilidad delta, calculado </w:t>
      </w:r>
      <w:r w:rsidR="00FE7E15" w:rsidRPr="00E95CF8">
        <w:rPr>
          <w:rFonts w:cs="Arial"/>
          <w:b/>
          <w:bCs/>
          <w:sz w:val="16"/>
          <w:szCs w:val="16"/>
        </w:rPr>
        <w:t>de acuerdo con</w:t>
      </w:r>
      <w:r w:rsidRPr="00E95CF8">
        <w:rPr>
          <w:rFonts w:cs="Arial"/>
          <w:b/>
          <w:bCs/>
          <w:sz w:val="16"/>
          <w:szCs w:val="16"/>
        </w:rPr>
        <w:t xml:space="preserve"> los numerales del </w:t>
      </w:r>
      <w:r w:rsidR="000B2730">
        <w:rPr>
          <w:rFonts w:cs="Arial"/>
          <w:b/>
          <w:bCs/>
          <w:sz w:val="16"/>
          <w:szCs w:val="16"/>
        </w:rPr>
        <w:t>sub</w:t>
      </w:r>
      <w:r w:rsidRPr="00E95CF8">
        <w:rPr>
          <w:rFonts w:cs="Arial"/>
          <w:b/>
          <w:bCs/>
          <w:sz w:val="16"/>
          <w:szCs w:val="16"/>
        </w:rPr>
        <w:t xml:space="preserve">numeral </w:t>
      </w:r>
      <w:r w:rsidR="00907C12">
        <w:rPr>
          <w:rFonts w:cs="Arial"/>
          <w:b/>
          <w:bCs/>
          <w:sz w:val="16"/>
          <w:szCs w:val="16"/>
        </w:rPr>
        <w:t>2</w:t>
      </w:r>
      <w:r w:rsidRPr="00E95CF8">
        <w:rPr>
          <w:rFonts w:cs="Arial"/>
          <w:b/>
          <w:bCs/>
          <w:sz w:val="16"/>
          <w:szCs w:val="16"/>
        </w:rPr>
        <w:t xml:space="preserve">.7 del Anexo </w:t>
      </w:r>
      <w:r w:rsidR="00804FAF">
        <w:rPr>
          <w:rFonts w:cs="Arial"/>
          <w:b/>
          <w:bCs/>
          <w:sz w:val="16"/>
          <w:szCs w:val="16"/>
        </w:rPr>
        <w:t>7</w:t>
      </w:r>
      <w:r w:rsidRPr="00E95CF8">
        <w:rPr>
          <w:rFonts w:cs="Arial"/>
          <w:b/>
          <w:bCs/>
          <w:sz w:val="16"/>
          <w:szCs w:val="16"/>
        </w:rPr>
        <w:t xml:space="preserve"> del Capítulo X</w:t>
      </w:r>
      <w:r w:rsidR="00804FAF">
        <w:rPr>
          <w:rFonts w:cs="Arial"/>
          <w:b/>
          <w:bCs/>
          <w:sz w:val="16"/>
          <w:szCs w:val="16"/>
        </w:rPr>
        <w:t>X</w:t>
      </w:r>
      <w:r w:rsidRPr="00E95CF8">
        <w:rPr>
          <w:rFonts w:cs="Arial"/>
          <w:b/>
          <w:bCs/>
          <w:sz w:val="16"/>
          <w:szCs w:val="16"/>
        </w:rPr>
        <w:t xml:space="preserve">XI. </w:t>
      </w:r>
    </w:p>
    <w:p w14:paraId="11BA15A0" w14:textId="4BD119F9" w:rsidR="00E503A0" w:rsidRPr="00E95CF8" w:rsidRDefault="00E503A0" w:rsidP="00223096">
      <w:pPr>
        <w:tabs>
          <w:tab w:val="left" w:pos="851"/>
          <w:tab w:val="left" w:pos="1701"/>
        </w:tabs>
        <w:ind w:left="8" w:hanging="8"/>
        <w:rPr>
          <w:rFonts w:cs="Arial"/>
          <w:b/>
          <w:bCs/>
          <w:sz w:val="16"/>
          <w:szCs w:val="16"/>
        </w:rPr>
      </w:pPr>
    </w:p>
    <w:p w14:paraId="3F7ADEE5" w14:textId="41A46825" w:rsidR="00E503A0" w:rsidRPr="00E95CF8" w:rsidRDefault="00E503A0" w:rsidP="00223096">
      <w:pPr>
        <w:pStyle w:val="Prrafodelista"/>
        <w:numPr>
          <w:ilvl w:val="0"/>
          <w:numId w:val="41"/>
        </w:numPr>
        <w:tabs>
          <w:tab w:val="left" w:pos="851"/>
          <w:tab w:val="left" w:pos="1701"/>
        </w:tabs>
        <w:rPr>
          <w:rFonts w:cs="Arial"/>
          <w:b/>
          <w:bCs/>
          <w:sz w:val="16"/>
          <w:szCs w:val="16"/>
        </w:rPr>
      </w:pPr>
      <w:r w:rsidRPr="00E95CF8">
        <w:rPr>
          <w:rFonts w:cs="Arial"/>
          <w:b/>
          <w:bCs/>
          <w:sz w:val="16"/>
          <w:szCs w:val="16"/>
        </w:rPr>
        <w:t xml:space="preserve">Positivo para posiciones largas en opciones de compra y posiciones cortas en opciones de venta. </w:t>
      </w:r>
    </w:p>
    <w:p w14:paraId="20B3CB40" w14:textId="7CE03DAA" w:rsidR="00E503A0" w:rsidRPr="00E95CF8" w:rsidRDefault="00E503A0" w:rsidP="00223096">
      <w:pPr>
        <w:pStyle w:val="Prrafodelista"/>
        <w:numPr>
          <w:ilvl w:val="0"/>
          <w:numId w:val="41"/>
        </w:numPr>
        <w:tabs>
          <w:tab w:val="left" w:pos="851"/>
          <w:tab w:val="left" w:pos="1701"/>
        </w:tabs>
        <w:rPr>
          <w:rFonts w:cs="Arial"/>
          <w:b/>
          <w:bCs/>
          <w:sz w:val="16"/>
          <w:szCs w:val="16"/>
        </w:rPr>
      </w:pPr>
      <w:r w:rsidRPr="00E95CF8">
        <w:rPr>
          <w:rFonts w:cs="Arial"/>
          <w:b/>
          <w:bCs/>
          <w:sz w:val="16"/>
          <w:szCs w:val="16"/>
        </w:rPr>
        <w:t xml:space="preserve">Negativo para posiciones cortas en opciones de compra y largas en opciones de venta. </w:t>
      </w:r>
    </w:p>
    <w:p w14:paraId="4C3FB097" w14:textId="77777777" w:rsidR="00E503A0" w:rsidRPr="00E95CF8" w:rsidRDefault="00E503A0" w:rsidP="00223096">
      <w:pPr>
        <w:tabs>
          <w:tab w:val="left" w:pos="851"/>
          <w:tab w:val="left" w:pos="1701"/>
        </w:tabs>
        <w:ind w:left="8" w:hanging="8"/>
        <w:rPr>
          <w:rFonts w:cs="Arial"/>
          <w:b/>
          <w:bCs/>
          <w:sz w:val="16"/>
          <w:szCs w:val="16"/>
        </w:rPr>
      </w:pPr>
    </w:p>
    <w:p w14:paraId="6150987E" w14:textId="0884F8CC" w:rsidR="001B4E4B" w:rsidRDefault="00E503A0" w:rsidP="00223096">
      <w:pPr>
        <w:tabs>
          <w:tab w:val="left" w:pos="851"/>
          <w:tab w:val="left" w:pos="1701"/>
        </w:tabs>
        <w:ind w:left="8" w:hanging="8"/>
        <w:rPr>
          <w:rFonts w:cs="Arial"/>
          <w:b/>
          <w:bCs/>
          <w:sz w:val="16"/>
          <w:szCs w:val="16"/>
        </w:rPr>
        <w:sectPr w:rsidR="001B4E4B" w:rsidSect="004D4ACB">
          <w:headerReference w:type="default" r:id="rId22"/>
          <w:pgSz w:w="12242" w:h="18722" w:code="14"/>
          <w:pgMar w:top="1701" w:right="1701" w:bottom="1701" w:left="1701" w:header="680" w:footer="1003" w:gutter="0"/>
          <w:paperSrc w:first="3" w:other="3"/>
          <w:pgNumType w:start="24"/>
          <w:cols w:space="720"/>
          <w:noEndnote/>
          <w:docGrid w:linePitch="326"/>
        </w:sectPr>
      </w:pPr>
      <w:r w:rsidRPr="00E95CF8">
        <w:rPr>
          <w:rFonts w:cs="Arial"/>
          <w:b/>
          <w:bCs/>
          <w:sz w:val="16"/>
          <w:szCs w:val="16"/>
        </w:rPr>
        <w:t xml:space="preserve">T:   </w:t>
      </w:r>
      <w:r w:rsidR="00F84C71" w:rsidRPr="00E95CF8">
        <w:rPr>
          <w:rFonts w:cs="Arial"/>
          <w:b/>
          <w:bCs/>
          <w:sz w:val="16"/>
          <w:szCs w:val="16"/>
        </w:rPr>
        <w:t xml:space="preserve">Horizonte de riesgo de </w:t>
      </w:r>
      <w:r w:rsidR="00EF4852" w:rsidRPr="00E95CF8">
        <w:rPr>
          <w:rFonts w:cs="Arial"/>
          <w:b/>
          <w:bCs/>
          <w:sz w:val="16"/>
          <w:szCs w:val="16"/>
        </w:rPr>
        <w:t>exposición crediticia</w:t>
      </w:r>
      <w:r w:rsidR="00463304" w:rsidRPr="00E95CF8">
        <w:rPr>
          <w:rFonts w:cs="Arial"/>
          <w:b/>
          <w:bCs/>
          <w:sz w:val="16"/>
          <w:szCs w:val="16"/>
        </w:rPr>
        <w:t xml:space="preserve"> </w:t>
      </w:r>
      <w:r w:rsidR="00441E18" w:rsidRPr="00E95CF8">
        <w:rPr>
          <w:rFonts w:cs="Arial"/>
          <w:b/>
          <w:bCs/>
          <w:sz w:val="16"/>
          <w:szCs w:val="16"/>
        </w:rPr>
        <w:t>anualizado</w:t>
      </w:r>
      <w:r w:rsidR="00F84C71" w:rsidRPr="00E95CF8">
        <w:rPr>
          <w:rFonts w:cs="Arial"/>
          <w:b/>
          <w:bCs/>
          <w:sz w:val="16"/>
          <w:szCs w:val="16"/>
        </w:rPr>
        <w:t xml:space="preserve">, calculado de acuerdo con el </w:t>
      </w:r>
      <w:r w:rsidR="000B2730">
        <w:rPr>
          <w:rFonts w:cs="Arial"/>
          <w:b/>
          <w:bCs/>
          <w:sz w:val="16"/>
          <w:szCs w:val="16"/>
        </w:rPr>
        <w:t>sub</w:t>
      </w:r>
      <w:r w:rsidR="00F84C71" w:rsidRPr="00E95CF8">
        <w:rPr>
          <w:rFonts w:cs="Arial"/>
          <w:b/>
          <w:bCs/>
          <w:sz w:val="16"/>
          <w:szCs w:val="16"/>
        </w:rPr>
        <w:t>numeral 1.</w:t>
      </w:r>
      <w:r w:rsidR="001D7971" w:rsidRPr="00E95CF8">
        <w:rPr>
          <w:rFonts w:cs="Arial"/>
          <w:b/>
          <w:bCs/>
          <w:sz w:val="16"/>
          <w:szCs w:val="16"/>
        </w:rPr>
        <w:t>6</w:t>
      </w:r>
      <w:r w:rsidR="00F84C71" w:rsidRPr="00E95CF8">
        <w:rPr>
          <w:rFonts w:cs="Arial"/>
          <w:b/>
          <w:bCs/>
          <w:sz w:val="16"/>
          <w:szCs w:val="16"/>
        </w:rPr>
        <w:t xml:space="preserve">. </w:t>
      </w:r>
    </w:p>
    <w:p w14:paraId="17A52F9B" w14:textId="77777777" w:rsidR="003D2302" w:rsidRPr="00E95CF8" w:rsidRDefault="003D2302" w:rsidP="009F30D1">
      <w:pPr>
        <w:pBdr>
          <w:left w:val="single" w:sz="4" w:space="4" w:color="auto"/>
        </w:pBdr>
        <w:tabs>
          <w:tab w:val="left" w:pos="851"/>
          <w:tab w:val="left" w:pos="1701"/>
        </w:tabs>
        <w:rPr>
          <w:rFonts w:cs="Arial"/>
          <w:b/>
          <w:bCs/>
          <w:sz w:val="16"/>
          <w:szCs w:val="16"/>
        </w:rPr>
      </w:pPr>
    </w:p>
    <w:p w14:paraId="018764CE" w14:textId="535B0FA1" w:rsidR="00650D1B" w:rsidRPr="00E95CF8" w:rsidRDefault="003D2302" w:rsidP="009F30D1">
      <w:pPr>
        <w:pBdr>
          <w:left w:val="single" w:sz="4" w:space="4" w:color="auto"/>
        </w:pBdr>
        <w:tabs>
          <w:tab w:val="left" w:pos="851"/>
          <w:tab w:val="left" w:pos="1701"/>
        </w:tabs>
        <w:rPr>
          <w:rFonts w:cs="Arial"/>
          <w:b/>
          <w:bCs/>
          <w:i/>
          <w:sz w:val="16"/>
          <w:szCs w:val="16"/>
        </w:rPr>
      </w:pPr>
      <w:r w:rsidRPr="00E95CF8">
        <w:rPr>
          <w:rFonts w:cs="Arial"/>
          <w:b/>
          <w:bCs/>
          <w:sz w:val="16"/>
          <w:szCs w:val="16"/>
        </w:rPr>
        <w:t>1.</w:t>
      </w:r>
      <w:r w:rsidR="001D7971" w:rsidRPr="00E95CF8">
        <w:rPr>
          <w:rFonts w:cs="Arial"/>
          <w:b/>
          <w:bCs/>
          <w:sz w:val="16"/>
          <w:szCs w:val="16"/>
        </w:rPr>
        <w:t>7</w:t>
      </w:r>
      <w:r w:rsidRPr="00E95CF8">
        <w:rPr>
          <w:rFonts w:cs="Arial"/>
          <w:b/>
          <w:bCs/>
          <w:sz w:val="16"/>
          <w:szCs w:val="16"/>
        </w:rPr>
        <w:t xml:space="preserve">.1 </w:t>
      </w:r>
      <w:r w:rsidR="00D97161" w:rsidRPr="00E95CF8">
        <w:rPr>
          <w:rFonts w:cs="Arial"/>
          <w:b/>
          <w:bCs/>
          <w:sz w:val="16"/>
          <w:szCs w:val="16"/>
        </w:rPr>
        <w:t>Instrumentos Financieros Derivados de Tasa de Interés</w:t>
      </w:r>
      <w:r w:rsidR="00895A5E" w:rsidRPr="00E95CF8">
        <w:rPr>
          <w:rFonts w:cs="Arial"/>
          <w:b/>
          <w:bCs/>
          <w:sz w:val="16"/>
          <w:szCs w:val="16"/>
        </w:rPr>
        <w:t xml:space="preserve"> y </w:t>
      </w:r>
      <w:r w:rsidR="00105F6B" w:rsidRPr="00E95CF8">
        <w:rPr>
          <w:rFonts w:cs="Arial"/>
          <w:b/>
          <w:bCs/>
          <w:sz w:val="16"/>
          <w:szCs w:val="16"/>
        </w:rPr>
        <w:t>Derivados de Crédito</w:t>
      </w:r>
    </w:p>
    <w:p w14:paraId="32B23FA8" w14:textId="34207890" w:rsidR="00650D1B" w:rsidRPr="00E95CF8" w:rsidRDefault="00650D1B" w:rsidP="009F30D1">
      <w:pPr>
        <w:pBdr>
          <w:left w:val="single" w:sz="4" w:space="4" w:color="auto"/>
        </w:pBdr>
        <w:tabs>
          <w:tab w:val="left" w:pos="851"/>
          <w:tab w:val="left" w:pos="1701"/>
        </w:tabs>
        <w:rPr>
          <w:rFonts w:cs="Arial"/>
          <w:b/>
          <w:bCs/>
          <w:sz w:val="16"/>
          <w:szCs w:val="16"/>
        </w:rPr>
      </w:pPr>
    </w:p>
    <w:p w14:paraId="5CBDF704" w14:textId="194B1107" w:rsidR="00072193" w:rsidRPr="00E95CF8" w:rsidRDefault="00E95CF8" w:rsidP="0057481F">
      <w:pPr>
        <w:pBdr>
          <w:left w:val="single" w:sz="4" w:space="4" w:color="auto"/>
        </w:pBdr>
        <w:tabs>
          <w:tab w:val="left" w:pos="851"/>
          <w:tab w:val="left" w:pos="1701"/>
        </w:tabs>
        <w:jc w:val="center"/>
        <w:rPr>
          <w:rFonts w:cs="Arial"/>
          <w:b/>
          <w:bCs/>
          <w:sz w:val="16"/>
          <w:szCs w:val="16"/>
        </w:rPr>
      </w:pPr>
      <m:oMath>
        <m:r>
          <m:rPr>
            <m:sty m:val="bi"/>
          </m:rPr>
          <w:rPr>
            <w:rFonts w:ascii="Cambria Math" w:hAnsi="Cambria Math" w:cs="Arial"/>
            <w:sz w:val="16"/>
            <w:szCs w:val="16"/>
          </w:rPr>
          <m:t>VNA=VN*DR</m:t>
        </m:r>
      </m:oMath>
      <w:r w:rsidR="001C5BE4" w:rsidRPr="00E95CF8">
        <w:rPr>
          <w:rFonts w:cs="Arial"/>
          <w:b/>
          <w:bCs/>
          <w:sz w:val="16"/>
          <w:szCs w:val="16"/>
        </w:rPr>
        <w:t>, donde</w:t>
      </w:r>
    </w:p>
    <w:p w14:paraId="0CB63D4A" w14:textId="4659EA38" w:rsidR="001C5BE4" w:rsidRPr="00E95CF8" w:rsidRDefault="001C5BE4" w:rsidP="009F30D1">
      <w:pPr>
        <w:pBdr>
          <w:left w:val="single" w:sz="4" w:space="4" w:color="auto"/>
        </w:pBdr>
        <w:tabs>
          <w:tab w:val="left" w:pos="851"/>
          <w:tab w:val="left" w:pos="1701"/>
        </w:tabs>
        <w:rPr>
          <w:rFonts w:cs="Arial"/>
          <w:b/>
          <w:bCs/>
          <w:sz w:val="16"/>
          <w:szCs w:val="16"/>
        </w:rPr>
      </w:pPr>
    </w:p>
    <w:p w14:paraId="0C904812" w14:textId="774F1BAE" w:rsidR="001C5BE4" w:rsidRPr="00E95CF8" w:rsidRDefault="001C5BE4" w:rsidP="009F30D1">
      <w:pPr>
        <w:pBdr>
          <w:left w:val="single" w:sz="4" w:space="4" w:color="auto"/>
        </w:pBdr>
        <w:tabs>
          <w:tab w:val="left" w:pos="851"/>
          <w:tab w:val="left" w:pos="1701"/>
        </w:tabs>
        <w:rPr>
          <w:rFonts w:cs="Arial"/>
          <w:b/>
          <w:bCs/>
          <w:sz w:val="16"/>
          <w:szCs w:val="16"/>
          <w:lang w:val="es-ES"/>
        </w:rPr>
      </w:pPr>
      <w:r w:rsidRPr="00E95CF8">
        <w:rPr>
          <w:rFonts w:cs="Arial"/>
          <w:b/>
          <w:bCs/>
          <w:sz w:val="16"/>
          <w:szCs w:val="16"/>
        </w:rPr>
        <w:t xml:space="preserve">VN:  </w:t>
      </w:r>
      <w:r w:rsidRPr="00E95CF8">
        <w:rPr>
          <w:rFonts w:cs="Arial"/>
          <w:b/>
          <w:bCs/>
          <w:sz w:val="16"/>
          <w:szCs w:val="16"/>
          <w:lang w:val="es-ES"/>
        </w:rPr>
        <w:t>Valor</w:t>
      </w:r>
      <w:r w:rsidRPr="00E95CF8">
        <w:rPr>
          <w:rFonts w:cs="Arial"/>
          <w:b/>
          <w:bCs/>
          <w:sz w:val="16"/>
          <w:szCs w:val="16"/>
          <w:lang w:eastAsia="es-ES"/>
        </w:rPr>
        <w:t xml:space="preserve"> nominal o saldo remanente del </w:t>
      </w:r>
      <w:r w:rsidRPr="00E95CF8">
        <w:rPr>
          <w:rFonts w:cs="Arial"/>
          <w:b/>
          <w:bCs/>
          <w:sz w:val="16"/>
          <w:szCs w:val="16"/>
          <w:lang w:val="es-ES"/>
        </w:rPr>
        <w:t xml:space="preserve">instrumento financiero </w:t>
      </w:r>
      <w:r w:rsidR="004E2222" w:rsidRPr="00E95CF8">
        <w:rPr>
          <w:rFonts w:cs="Arial"/>
          <w:b/>
          <w:bCs/>
          <w:sz w:val="16"/>
          <w:szCs w:val="16"/>
          <w:lang w:val="es-ES"/>
        </w:rPr>
        <w:t>deri</w:t>
      </w:r>
      <w:r w:rsidR="004B7288" w:rsidRPr="00E95CF8">
        <w:rPr>
          <w:rFonts w:cs="Arial"/>
          <w:b/>
          <w:bCs/>
          <w:sz w:val="16"/>
          <w:szCs w:val="16"/>
          <w:lang w:val="es-ES"/>
        </w:rPr>
        <w:t>vado de tasa de interés o crédito</w:t>
      </w:r>
      <w:r w:rsidR="000466B2" w:rsidRPr="00E95CF8">
        <w:rPr>
          <w:rFonts w:cs="Arial"/>
          <w:b/>
          <w:bCs/>
          <w:sz w:val="16"/>
          <w:szCs w:val="16"/>
          <w:lang w:val="es-ES"/>
        </w:rPr>
        <w:t xml:space="preserve"> en pesos colombianos. </w:t>
      </w:r>
    </w:p>
    <w:p w14:paraId="361AB874" w14:textId="77777777" w:rsidR="001C5BE4" w:rsidRPr="00E95CF8" w:rsidRDefault="001C5BE4" w:rsidP="009F30D1">
      <w:pPr>
        <w:pBdr>
          <w:left w:val="single" w:sz="4" w:space="4" w:color="auto"/>
        </w:pBdr>
        <w:tabs>
          <w:tab w:val="left" w:pos="851"/>
          <w:tab w:val="left" w:pos="1701"/>
        </w:tabs>
        <w:rPr>
          <w:rFonts w:cs="Arial"/>
          <w:b/>
          <w:bCs/>
          <w:sz w:val="16"/>
          <w:szCs w:val="16"/>
          <w:lang w:val="es-ES"/>
        </w:rPr>
      </w:pPr>
    </w:p>
    <w:p w14:paraId="417EFC48" w14:textId="137A5E36" w:rsidR="001C5BE4" w:rsidRDefault="001C5BE4" w:rsidP="009F30D1">
      <w:pPr>
        <w:pBdr>
          <w:left w:val="single" w:sz="4" w:space="4" w:color="auto"/>
        </w:pBdr>
        <w:tabs>
          <w:tab w:val="left" w:pos="851"/>
          <w:tab w:val="left" w:pos="1701"/>
        </w:tabs>
        <w:rPr>
          <w:rFonts w:cs="Arial"/>
          <w:b/>
          <w:bCs/>
          <w:sz w:val="16"/>
          <w:szCs w:val="16"/>
          <w:lang w:val="es-ES"/>
        </w:rPr>
      </w:pPr>
      <w:r w:rsidRPr="00E95CF8">
        <w:rPr>
          <w:rFonts w:cs="Arial"/>
          <w:b/>
          <w:bCs/>
          <w:sz w:val="16"/>
          <w:szCs w:val="16"/>
          <w:lang w:val="es-ES"/>
        </w:rPr>
        <w:t>D</w:t>
      </w:r>
      <w:r w:rsidR="003E3C7A" w:rsidRPr="00E95CF8">
        <w:rPr>
          <w:rFonts w:cs="Arial"/>
          <w:b/>
          <w:bCs/>
          <w:sz w:val="16"/>
          <w:szCs w:val="16"/>
          <w:lang w:val="es-ES"/>
        </w:rPr>
        <w:t>R</w:t>
      </w:r>
      <w:r w:rsidRPr="00E95CF8">
        <w:rPr>
          <w:rFonts w:cs="Arial"/>
          <w:b/>
          <w:bCs/>
          <w:sz w:val="16"/>
          <w:szCs w:val="16"/>
          <w:lang w:val="es-ES"/>
        </w:rPr>
        <w:t xml:space="preserve">: Duración Regulatoria </w:t>
      </w:r>
      <w:r w:rsidR="00625829" w:rsidRPr="00E95CF8">
        <w:rPr>
          <w:rFonts w:cs="Arial"/>
          <w:b/>
          <w:bCs/>
          <w:sz w:val="16"/>
          <w:szCs w:val="16"/>
          <w:lang w:val="es-ES"/>
        </w:rPr>
        <w:t xml:space="preserve">en años </w:t>
      </w:r>
      <w:r w:rsidRPr="00E95CF8">
        <w:rPr>
          <w:rFonts w:cs="Arial"/>
          <w:b/>
          <w:bCs/>
          <w:sz w:val="16"/>
          <w:szCs w:val="16"/>
          <w:lang w:val="es-ES"/>
        </w:rPr>
        <w:t xml:space="preserve">dada por: </w:t>
      </w:r>
    </w:p>
    <w:p w14:paraId="55138D24" w14:textId="77777777" w:rsidR="006A7398" w:rsidRDefault="006A7398" w:rsidP="009F30D1">
      <w:pPr>
        <w:pBdr>
          <w:left w:val="single" w:sz="4" w:space="4" w:color="auto"/>
        </w:pBdr>
        <w:tabs>
          <w:tab w:val="left" w:pos="851"/>
          <w:tab w:val="left" w:pos="1701"/>
        </w:tabs>
        <w:rPr>
          <w:rFonts w:cs="Arial"/>
          <w:b/>
          <w:bCs/>
          <w:sz w:val="16"/>
          <w:szCs w:val="16"/>
          <w:lang w:val="es-ES"/>
        </w:rPr>
      </w:pPr>
    </w:p>
    <w:p w14:paraId="2E253DE7" w14:textId="77777777" w:rsidR="006A7398" w:rsidRPr="00E95CF8" w:rsidRDefault="006A7398" w:rsidP="009F30D1">
      <w:pPr>
        <w:pBdr>
          <w:left w:val="single" w:sz="4" w:space="4" w:color="auto"/>
        </w:pBdr>
        <w:tabs>
          <w:tab w:val="left" w:pos="851"/>
          <w:tab w:val="left" w:pos="1701"/>
        </w:tabs>
        <w:rPr>
          <w:rFonts w:cs="Arial"/>
          <w:b/>
          <w:bCs/>
          <w:sz w:val="16"/>
          <w:szCs w:val="16"/>
          <w:lang w:val="es-ES"/>
        </w:rPr>
      </w:pPr>
    </w:p>
    <w:p w14:paraId="23BEBE66" w14:textId="066F6107" w:rsidR="001C5BE4" w:rsidRPr="00E95CF8" w:rsidRDefault="00E95CF8" w:rsidP="0057481F">
      <w:pPr>
        <w:pBdr>
          <w:left w:val="single" w:sz="4" w:space="4" w:color="auto"/>
        </w:pBdr>
        <w:tabs>
          <w:tab w:val="left" w:pos="851"/>
          <w:tab w:val="left" w:pos="1701"/>
        </w:tabs>
        <w:jc w:val="center"/>
        <w:rPr>
          <w:rFonts w:cs="Arial"/>
          <w:b/>
          <w:bCs/>
          <w:sz w:val="16"/>
          <w:szCs w:val="16"/>
          <w:lang w:val="es-ES"/>
        </w:rPr>
      </w:pPr>
      <m:oMathPara>
        <m:oMath>
          <m:r>
            <m:rPr>
              <m:sty m:val="bi"/>
            </m:rPr>
            <w:rPr>
              <w:rFonts w:ascii="Cambria Math" w:hAnsi="Cambria Math" w:cs="Arial"/>
              <w:sz w:val="16"/>
              <w:szCs w:val="16"/>
              <w:lang w:val="es-ES"/>
            </w:rPr>
            <m:t xml:space="preserve">DR= </m:t>
          </m:r>
          <m:f>
            <m:fPr>
              <m:ctrlPr>
                <w:rPr>
                  <w:rFonts w:ascii="Cambria Math" w:hAnsi="Cambria Math" w:cs="Arial"/>
                  <w:b/>
                  <w:bCs/>
                  <w:i/>
                  <w:sz w:val="16"/>
                  <w:szCs w:val="16"/>
                  <w:lang w:val="es-ES"/>
                </w:rPr>
              </m:ctrlPr>
            </m:fPr>
            <m:num>
              <m:func>
                <m:funcPr>
                  <m:ctrlPr>
                    <w:rPr>
                      <w:rFonts w:ascii="Cambria Math" w:hAnsi="Cambria Math" w:cs="Arial"/>
                      <w:b/>
                      <w:bCs/>
                      <w:i/>
                      <w:sz w:val="16"/>
                      <w:szCs w:val="16"/>
                      <w:lang w:val="es-ES"/>
                    </w:rPr>
                  </m:ctrlPr>
                </m:funcPr>
                <m:fName>
                  <m:r>
                    <m:rPr>
                      <m:sty m:val="b"/>
                    </m:rPr>
                    <w:rPr>
                      <w:rFonts w:ascii="Cambria Math" w:hAnsi="Cambria Math" w:cs="Arial"/>
                      <w:sz w:val="16"/>
                      <w:szCs w:val="16"/>
                      <w:lang w:val="es-ES"/>
                    </w:rPr>
                    <m:t>exp</m:t>
                  </m:r>
                </m:fName>
                <m:e>
                  <m:d>
                    <m:dPr>
                      <m:ctrlPr>
                        <w:rPr>
                          <w:rFonts w:ascii="Cambria Math" w:hAnsi="Cambria Math" w:cs="Arial"/>
                          <w:b/>
                          <w:bCs/>
                          <w:i/>
                          <w:sz w:val="16"/>
                          <w:szCs w:val="16"/>
                          <w:lang w:val="es-ES"/>
                        </w:rPr>
                      </m:ctrlPr>
                    </m:dPr>
                    <m:e>
                      <m:r>
                        <m:rPr>
                          <m:sty m:val="bi"/>
                        </m:rPr>
                        <w:rPr>
                          <w:rFonts w:ascii="Cambria Math" w:hAnsi="Cambria Math" w:cs="Arial"/>
                          <w:sz w:val="16"/>
                          <w:szCs w:val="16"/>
                          <w:lang w:val="es-ES"/>
                        </w:rPr>
                        <m:t>-0.05*E</m:t>
                      </m:r>
                    </m:e>
                  </m:d>
                </m:e>
              </m:func>
              <m:r>
                <m:rPr>
                  <m:sty m:val="bi"/>
                </m:rPr>
                <w:rPr>
                  <w:rFonts w:ascii="Cambria Math" w:hAnsi="Cambria Math" w:cs="Arial"/>
                  <w:sz w:val="16"/>
                  <w:szCs w:val="16"/>
                  <w:lang w:val="es-ES"/>
                </w:rPr>
                <m:t>-</m:t>
              </m:r>
              <m:r>
                <m:rPr>
                  <m:sty m:val="b"/>
                </m:rPr>
                <w:rPr>
                  <w:rFonts w:ascii="Cambria Math" w:hAnsi="Cambria Math" w:cs="Arial"/>
                  <w:sz w:val="16"/>
                  <w:szCs w:val="16"/>
                  <w:lang w:val="es-ES"/>
                </w:rPr>
                <m:t>exp⁡</m:t>
              </m:r>
              <m:r>
                <m:rPr>
                  <m:sty m:val="bi"/>
                </m:rPr>
                <w:rPr>
                  <w:rFonts w:ascii="Cambria Math" w:hAnsi="Cambria Math" w:cs="Arial"/>
                  <w:sz w:val="16"/>
                  <w:szCs w:val="16"/>
                  <w:lang w:val="es-ES"/>
                </w:rPr>
                <m:t>(-0.05*M)</m:t>
              </m:r>
            </m:num>
            <m:den>
              <m:r>
                <m:rPr>
                  <m:sty m:val="bi"/>
                </m:rPr>
                <w:rPr>
                  <w:rFonts w:ascii="Cambria Math" w:hAnsi="Cambria Math" w:cs="Arial"/>
                  <w:sz w:val="16"/>
                  <w:szCs w:val="16"/>
                  <w:lang w:val="es-ES"/>
                </w:rPr>
                <m:t>0.05</m:t>
              </m:r>
            </m:den>
          </m:f>
          <m:r>
            <m:rPr>
              <m:sty m:val="bi"/>
            </m:rPr>
            <w:rPr>
              <w:rFonts w:ascii="Cambria Math" w:hAnsi="Cambria Math" w:cs="Arial"/>
              <w:sz w:val="16"/>
              <w:szCs w:val="16"/>
              <w:lang w:val="es-ES"/>
            </w:rPr>
            <m:t xml:space="preserve"> </m:t>
          </m:r>
        </m:oMath>
      </m:oMathPara>
    </w:p>
    <w:p w14:paraId="45BC1387" w14:textId="77777777" w:rsidR="001C5BE4" w:rsidRDefault="001C5BE4" w:rsidP="009F30D1">
      <w:pPr>
        <w:pBdr>
          <w:left w:val="single" w:sz="4" w:space="4" w:color="auto"/>
        </w:pBdr>
        <w:tabs>
          <w:tab w:val="left" w:pos="851"/>
          <w:tab w:val="left" w:pos="1701"/>
        </w:tabs>
        <w:rPr>
          <w:rFonts w:cs="Arial"/>
          <w:b/>
          <w:bCs/>
          <w:sz w:val="16"/>
          <w:szCs w:val="16"/>
          <w:lang w:val="es-ES"/>
        </w:rPr>
      </w:pPr>
    </w:p>
    <w:p w14:paraId="4C0F1496" w14:textId="77777777" w:rsidR="006A7398" w:rsidRPr="00E95CF8" w:rsidRDefault="006A7398" w:rsidP="009F30D1">
      <w:pPr>
        <w:pBdr>
          <w:left w:val="single" w:sz="4" w:space="4" w:color="auto"/>
        </w:pBdr>
        <w:tabs>
          <w:tab w:val="left" w:pos="851"/>
          <w:tab w:val="left" w:pos="1701"/>
        </w:tabs>
        <w:rPr>
          <w:rFonts w:cs="Arial"/>
          <w:b/>
          <w:bCs/>
          <w:sz w:val="16"/>
          <w:szCs w:val="16"/>
          <w:lang w:val="es-ES"/>
        </w:rPr>
      </w:pPr>
    </w:p>
    <w:p w14:paraId="21EB5FDF" w14:textId="65D75773" w:rsidR="00CA2AD2" w:rsidRPr="00E95CF8" w:rsidRDefault="00625829" w:rsidP="00C71BCB">
      <w:pPr>
        <w:pBdr>
          <w:left w:val="single" w:sz="4" w:space="4" w:color="auto"/>
        </w:pBdr>
        <w:tabs>
          <w:tab w:val="left" w:pos="851"/>
          <w:tab w:val="left" w:pos="1701"/>
        </w:tabs>
        <w:rPr>
          <w:rFonts w:cs="Arial"/>
          <w:b/>
          <w:bCs/>
          <w:sz w:val="16"/>
          <w:szCs w:val="16"/>
          <w:lang w:val="es-ES"/>
        </w:rPr>
      </w:pPr>
      <w:r w:rsidRPr="00E95CF8">
        <w:rPr>
          <w:rFonts w:cs="Arial"/>
          <w:b/>
          <w:bCs/>
          <w:sz w:val="16"/>
          <w:szCs w:val="16"/>
          <w:lang w:val="es-ES"/>
        </w:rPr>
        <w:t>E: Tiempo en años</w:t>
      </w:r>
      <w:r w:rsidR="0052711A" w:rsidRPr="00E95CF8">
        <w:rPr>
          <w:rFonts w:cs="Arial"/>
          <w:b/>
          <w:bCs/>
          <w:sz w:val="16"/>
          <w:szCs w:val="16"/>
          <w:lang w:val="es-ES"/>
        </w:rPr>
        <w:t xml:space="preserve"> desde la fecha de corte</w:t>
      </w:r>
      <w:r w:rsidRPr="00E95CF8">
        <w:rPr>
          <w:rFonts w:cs="Arial"/>
          <w:b/>
          <w:bCs/>
          <w:sz w:val="16"/>
          <w:szCs w:val="16"/>
          <w:lang w:val="es-ES"/>
        </w:rPr>
        <w:t xml:space="preserve"> hasta el comienzo del periodo de referencia del contrato.</w:t>
      </w:r>
      <w:r w:rsidR="00105F6B" w:rsidRPr="00E95CF8">
        <w:rPr>
          <w:rFonts w:cs="Arial"/>
          <w:b/>
          <w:bCs/>
          <w:sz w:val="16"/>
          <w:szCs w:val="16"/>
          <w:lang w:val="es-ES"/>
        </w:rPr>
        <w:t xml:space="preserve"> Para derivados cuyo subyacente sea una tasa de interés,</w:t>
      </w:r>
      <w:r w:rsidR="009B7275" w:rsidRPr="00E95CF8">
        <w:rPr>
          <w:rFonts w:cs="Arial"/>
          <w:b/>
          <w:bCs/>
          <w:sz w:val="16"/>
          <w:szCs w:val="16"/>
          <w:lang w:val="es-ES"/>
        </w:rPr>
        <w:t xml:space="preserve"> tomar E cómo 0 (ej. IRS</w:t>
      </w:r>
      <w:r w:rsidR="00CA2AD2" w:rsidRPr="00E95CF8">
        <w:rPr>
          <w:rFonts w:cs="Arial"/>
          <w:b/>
          <w:bCs/>
          <w:sz w:val="16"/>
          <w:szCs w:val="16"/>
          <w:lang w:val="es-ES"/>
        </w:rPr>
        <w:t xml:space="preserve">). En caso de ser </w:t>
      </w:r>
      <w:r w:rsidR="00CA2AD2" w:rsidRPr="00E95CF8">
        <w:rPr>
          <w:rFonts w:cs="Arial"/>
          <w:b/>
          <w:bCs/>
          <w:i/>
          <w:sz w:val="16"/>
          <w:szCs w:val="16"/>
          <w:lang w:val="es-ES"/>
        </w:rPr>
        <w:t xml:space="preserve">forward </w:t>
      </w:r>
      <w:proofErr w:type="spellStart"/>
      <w:r w:rsidR="00CA2AD2" w:rsidRPr="00E95CF8">
        <w:rPr>
          <w:rFonts w:cs="Arial"/>
          <w:b/>
          <w:bCs/>
          <w:i/>
          <w:sz w:val="16"/>
          <w:szCs w:val="16"/>
          <w:lang w:val="es-ES"/>
        </w:rPr>
        <w:t>starting</w:t>
      </w:r>
      <w:proofErr w:type="spellEnd"/>
      <w:r w:rsidR="00CA2AD2" w:rsidRPr="00E95CF8">
        <w:rPr>
          <w:rFonts w:cs="Arial"/>
          <w:b/>
          <w:bCs/>
          <w:i/>
          <w:sz w:val="16"/>
          <w:szCs w:val="16"/>
          <w:lang w:val="es-ES"/>
        </w:rPr>
        <w:t xml:space="preserve">, </w:t>
      </w:r>
      <w:r w:rsidR="00105F6B" w:rsidRPr="00E95CF8">
        <w:rPr>
          <w:rFonts w:cs="Arial"/>
          <w:b/>
          <w:bCs/>
          <w:sz w:val="16"/>
          <w:szCs w:val="16"/>
          <w:lang w:val="es-ES"/>
        </w:rPr>
        <w:t xml:space="preserve">tomar como referencia </w:t>
      </w:r>
      <w:r w:rsidR="00CA2AD2" w:rsidRPr="00E95CF8">
        <w:rPr>
          <w:rFonts w:cs="Arial"/>
          <w:b/>
          <w:bCs/>
          <w:sz w:val="16"/>
          <w:szCs w:val="16"/>
          <w:lang w:val="es-ES"/>
        </w:rPr>
        <w:t>la fecha de inicio futura pactada</w:t>
      </w:r>
      <w:r w:rsidR="00105F6B" w:rsidRPr="00E95CF8">
        <w:rPr>
          <w:rFonts w:cs="Arial"/>
          <w:b/>
          <w:bCs/>
          <w:sz w:val="16"/>
          <w:szCs w:val="16"/>
          <w:lang w:val="es-ES"/>
        </w:rPr>
        <w:t>.</w:t>
      </w:r>
      <w:r w:rsidR="00DF7CB9" w:rsidRPr="00E95CF8">
        <w:rPr>
          <w:rFonts w:cs="Arial"/>
          <w:b/>
          <w:bCs/>
          <w:sz w:val="16"/>
          <w:szCs w:val="16"/>
          <w:lang w:val="es-ES"/>
        </w:rPr>
        <w:t xml:space="preserve"> Para derivados cuyo subyacente sea otro instrumento sensible a tasas de interés o crédito (</w:t>
      </w:r>
      <w:proofErr w:type="spellStart"/>
      <w:r w:rsidR="00DF7CB9" w:rsidRPr="00E95CF8">
        <w:rPr>
          <w:rFonts w:cs="Arial"/>
          <w:b/>
          <w:bCs/>
          <w:sz w:val="16"/>
          <w:szCs w:val="16"/>
          <w:lang w:val="es-ES"/>
        </w:rPr>
        <w:t>ie</w:t>
      </w:r>
      <w:proofErr w:type="spellEnd"/>
      <w:r w:rsidR="00DF7CB9" w:rsidRPr="00E95CF8">
        <w:rPr>
          <w:rFonts w:cs="Arial"/>
          <w:b/>
          <w:bCs/>
          <w:sz w:val="16"/>
          <w:szCs w:val="16"/>
          <w:lang w:val="es-ES"/>
        </w:rPr>
        <w:t xml:space="preserve">. futuros sobre bonos, </w:t>
      </w:r>
      <w:proofErr w:type="spellStart"/>
      <w:r w:rsidR="00DF7CB9" w:rsidRPr="002E0E65">
        <w:rPr>
          <w:rFonts w:cs="Arial"/>
          <w:b/>
          <w:bCs/>
          <w:i/>
          <w:sz w:val="16"/>
          <w:szCs w:val="16"/>
          <w:lang w:val="es-ES"/>
        </w:rPr>
        <w:t>swaptions</w:t>
      </w:r>
      <w:proofErr w:type="spellEnd"/>
      <w:r w:rsidR="00DF7CB9" w:rsidRPr="00E95CF8">
        <w:rPr>
          <w:rFonts w:cs="Arial"/>
          <w:b/>
          <w:bCs/>
          <w:sz w:val="16"/>
          <w:szCs w:val="16"/>
          <w:lang w:val="es-ES"/>
        </w:rPr>
        <w:t xml:space="preserve">), tomar la fecha de </w:t>
      </w:r>
      <w:r w:rsidR="0086548F">
        <w:rPr>
          <w:rFonts w:cs="Arial"/>
          <w:b/>
          <w:bCs/>
          <w:sz w:val="16"/>
          <w:szCs w:val="16"/>
          <w:lang w:val="es-ES"/>
        </w:rPr>
        <w:t>vencimiento</w:t>
      </w:r>
      <w:r w:rsidR="00DF7CB9" w:rsidRPr="00E95CF8">
        <w:rPr>
          <w:rFonts w:cs="Arial"/>
          <w:b/>
          <w:bCs/>
          <w:sz w:val="16"/>
          <w:szCs w:val="16"/>
          <w:lang w:val="es-ES"/>
        </w:rPr>
        <w:t xml:space="preserve"> del derivado.</w:t>
      </w:r>
    </w:p>
    <w:p w14:paraId="2E14BCEC" w14:textId="160A3DA3" w:rsidR="00625829" w:rsidRPr="00E95CF8" w:rsidRDefault="00DF7CB9" w:rsidP="00C71BCB">
      <w:pPr>
        <w:pBdr>
          <w:left w:val="single" w:sz="4" w:space="4" w:color="auto"/>
        </w:pBdr>
        <w:tabs>
          <w:tab w:val="left" w:pos="851"/>
          <w:tab w:val="left" w:pos="1701"/>
        </w:tabs>
        <w:rPr>
          <w:rFonts w:cs="Arial"/>
          <w:b/>
          <w:bCs/>
          <w:sz w:val="16"/>
          <w:szCs w:val="16"/>
          <w:lang w:val="es-ES"/>
        </w:rPr>
      </w:pPr>
      <w:r w:rsidRPr="00E95CF8">
        <w:rPr>
          <w:rFonts w:cs="Arial"/>
          <w:b/>
          <w:bCs/>
          <w:sz w:val="16"/>
          <w:szCs w:val="16"/>
          <w:lang w:val="es-ES"/>
        </w:rPr>
        <w:t xml:space="preserve">   </w:t>
      </w:r>
      <w:r w:rsidR="00105F6B" w:rsidRPr="00E95CF8">
        <w:rPr>
          <w:rFonts w:cs="Arial"/>
          <w:b/>
          <w:bCs/>
          <w:sz w:val="16"/>
          <w:szCs w:val="16"/>
          <w:lang w:val="es-ES"/>
        </w:rPr>
        <w:t xml:space="preserve">  </w:t>
      </w:r>
      <w:r w:rsidR="00625829" w:rsidRPr="00E95CF8">
        <w:rPr>
          <w:rFonts w:cs="Arial"/>
          <w:b/>
          <w:bCs/>
          <w:sz w:val="16"/>
          <w:szCs w:val="16"/>
          <w:lang w:val="es-ES"/>
        </w:rPr>
        <w:t xml:space="preserve"> </w:t>
      </w:r>
    </w:p>
    <w:p w14:paraId="27EDF27D" w14:textId="6A450518" w:rsidR="001C5BE4" w:rsidRPr="00E95CF8" w:rsidRDefault="00625829" w:rsidP="00C71BCB">
      <w:pPr>
        <w:pBdr>
          <w:left w:val="single" w:sz="4" w:space="4" w:color="auto"/>
        </w:pBdr>
        <w:tabs>
          <w:tab w:val="left" w:pos="851"/>
          <w:tab w:val="left" w:pos="1701"/>
        </w:tabs>
        <w:rPr>
          <w:rFonts w:cs="Arial"/>
          <w:b/>
          <w:bCs/>
          <w:sz w:val="16"/>
          <w:szCs w:val="16"/>
          <w:lang w:val="es-ES"/>
        </w:rPr>
      </w:pPr>
      <w:r w:rsidRPr="00E95CF8">
        <w:rPr>
          <w:rFonts w:cs="Arial"/>
          <w:b/>
          <w:bCs/>
          <w:sz w:val="16"/>
          <w:szCs w:val="16"/>
          <w:lang w:val="es-ES"/>
        </w:rPr>
        <w:t>M: Tiempo</w:t>
      </w:r>
      <w:r w:rsidR="00226FE8" w:rsidRPr="00E95CF8">
        <w:rPr>
          <w:rFonts w:cs="Arial"/>
          <w:b/>
          <w:bCs/>
          <w:sz w:val="16"/>
          <w:szCs w:val="16"/>
          <w:lang w:val="es-ES"/>
        </w:rPr>
        <w:t xml:space="preserve"> en años desde la fecha de corte hasta</w:t>
      </w:r>
      <w:r w:rsidRPr="00E95CF8">
        <w:rPr>
          <w:rFonts w:cs="Arial"/>
          <w:b/>
          <w:bCs/>
          <w:sz w:val="16"/>
          <w:szCs w:val="16"/>
          <w:lang w:val="es-ES"/>
        </w:rPr>
        <w:t xml:space="preserve"> </w:t>
      </w:r>
      <w:r w:rsidR="00226FE8" w:rsidRPr="00E95CF8">
        <w:rPr>
          <w:rFonts w:cs="Arial"/>
          <w:b/>
          <w:bCs/>
          <w:sz w:val="16"/>
          <w:szCs w:val="16"/>
          <w:lang w:val="es-ES"/>
        </w:rPr>
        <w:t>e</w:t>
      </w:r>
      <w:r w:rsidR="00007C2B" w:rsidRPr="00E95CF8">
        <w:rPr>
          <w:rFonts w:cs="Arial"/>
          <w:b/>
          <w:bCs/>
          <w:sz w:val="16"/>
          <w:szCs w:val="16"/>
          <w:lang w:val="es-ES"/>
        </w:rPr>
        <w:t>l</w:t>
      </w:r>
      <w:r w:rsidRPr="00E95CF8">
        <w:rPr>
          <w:rFonts w:cs="Arial"/>
          <w:b/>
          <w:bCs/>
          <w:sz w:val="16"/>
          <w:szCs w:val="16"/>
          <w:lang w:val="es-ES"/>
        </w:rPr>
        <w:t xml:space="preserve"> vencimiento del subyacente del contrato derivado.</w:t>
      </w:r>
      <w:r w:rsidR="00CB12F0" w:rsidRPr="00E95CF8">
        <w:rPr>
          <w:rFonts w:cs="Arial"/>
          <w:b/>
          <w:bCs/>
          <w:sz w:val="16"/>
          <w:szCs w:val="16"/>
          <w:lang w:val="es-ES"/>
        </w:rPr>
        <w:t xml:space="preserve"> Cuando </w:t>
      </w:r>
      <w:r w:rsidR="000C43A7" w:rsidRPr="00E95CF8">
        <w:rPr>
          <w:rFonts w:cs="Arial"/>
          <w:b/>
          <w:bCs/>
          <w:sz w:val="16"/>
          <w:szCs w:val="16"/>
          <w:lang w:val="es-ES"/>
        </w:rPr>
        <w:t xml:space="preserve">el subyacente corresponda </w:t>
      </w:r>
      <w:r w:rsidR="00F807EF" w:rsidRPr="00E95CF8">
        <w:rPr>
          <w:rFonts w:cs="Arial"/>
          <w:b/>
          <w:bCs/>
          <w:sz w:val="16"/>
          <w:szCs w:val="16"/>
          <w:lang w:val="es-ES"/>
        </w:rPr>
        <w:t>a</w:t>
      </w:r>
      <w:r w:rsidR="000C43A7" w:rsidRPr="00E95CF8">
        <w:rPr>
          <w:rFonts w:cs="Arial"/>
          <w:b/>
          <w:bCs/>
          <w:sz w:val="16"/>
          <w:szCs w:val="16"/>
          <w:lang w:val="es-ES"/>
        </w:rPr>
        <w:t xml:space="preserve"> tasas de interés</w:t>
      </w:r>
      <w:r w:rsidR="00FB3685" w:rsidRPr="00E95CF8">
        <w:rPr>
          <w:rFonts w:cs="Arial"/>
          <w:b/>
          <w:bCs/>
          <w:sz w:val="16"/>
          <w:szCs w:val="16"/>
          <w:lang w:val="es-ES"/>
        </w:rPr>
        <w:t xml:space="preserve"> (ej.</w:t>
      </w:r>
      <w:r w:rsidR="0034018F" w:rsidRPr="00E95CF8">
        <w:rPr>
          <w:rFonts w:cs="Arial"/>
          <w:b/>
          <w:bCs/>
          <w:sz w:val="16"/>
          <w:szCs w:val="16"/>
          <w:lang w:val="es-ES"/>
        </w:rPr>
        <w:t xml:space="preserve"> IRS)</w:t>
      </w:r>
      <w:r w:rsidR="001A0BA1" w:rsidRPr="00E95CF8">
        <w:rPr>
          <w:rFonts w:cs="Arial"/>
          <w:b/>
          <w:bCs/>
          <w:sz w:val="16"/>
          <w:szCs w:val="16"/>
          <w:lang w:val="es-ES"/>
        </w:rPr>
        <w:t>, este parámetro corresponderá al</w:t>
      </w:r>
      <w:r w:rsidR="00C3213A" w:rsidRPr="00E95CF8">
        <w:rPr>
          <w:rFonts w:cs="Arial"/>
          <w:b/>
          <w:bCs/>
          <w:sz w:val="16"/>
          <w:szCs w:val="16"/>
          <w:lang w:val="es-ES"/>
        </w:rPr>
        <w:t xml:space="preserve"> plazo al vencimiento del </w:t>
      </w:r>
      <w:r w:rsidR="001C5B03" w:rsidRPr="00E95CF8">
        <w:rPr>
          <w:rFonts w:cs="Arial"/>
          <w:b/>
          <w:bCs/>
          <w:sz w:val="16"/>
          <w:szCs w:val="16"/>
          <w:lang w:val="es-ES"/>
        </w:rPr>
        <w:t>derivado.</w:t>
      </w:r>
    </w:p>
    <w:p w14:paraId="027B31E0" w14:textId="441E9CE1" w:rsidR="001C5BE4" w:rsidRDefault="001C5BE4" w:rsidP="00C71BCB">
      <w:pPr>
        <w:pBdr>
          <w:left w:val="single" w:sz="4" w:space="4" w:color="auto"/>
        </w:pBdr>
        <w:tabs>
          <w:tab w:val="left" w:pos="851"/>
          <w:tab w:val="left" w:pos="1701"/>
        </w:tabs>
        <w:rPr>
          <w:rFonts w:cs="Arial"/>
          <w:b/>
          <w:bCs/>
          <w:sz w:val="16"/>
          <w:szCs w:val="16"/>
          <w:lang w:val="es-ES"/>
        </w:rPr>
      </w:pPr>
    </w:p>
    <w:p w14:paraId="1197FA56" w14:textId="37CEF6CC" w:rsidR="002E5A60" w:rsidRDefault="002E5A60" w:rsidP="00C71BCB">
      <w:pPr>
        <w:pBdr>
          <w:left w:val="single" w:sz="4" w:space="4" w:color="auto"/>
        </w:pBdr>
        <w:tabs>
          <w:tab w:val="left" w:pos="851"/>
          <w:tab w:val="left" w:pos="1701"/>
        </w:tabs>
        <w:rPr>
          <w:rFonts w:cs="Arial"/>
          <w:b/>
          <w:bCs/>
          <w:sz w:val="16"/>
          <w:szCs w:val="16"/>
          <w:lang w:val="es-ES"/>
        </w:rPr>
      </w:pPr>
      <w:r>
        <w:rPr>
          <w:rFonts w:cs="Arial"/>
          <w:b/>
          <w:bCs/>
          <w:sz w:val="16"/>
          <w:szCs w:val="16"/>
          <w:lang w:val="es-ES"/>
        </w:rPr>
        <w:t xml:space="preserve">Lo anterior </w:t>
      </w:r>
      <w:r w:rsidR="003549E0">
        <w:rPr>
          <w:rFonts w:cs="Arial"/>
          <w:b/>
          <w:bCs/>
          <w:sz w:val="16"/>
          <w:szCs w:val="16"/>
          <w:lang w:val="es-ES"/>
        </w:rPr>
        <w:t>implica que en ningún caso E y M serán iguales.</w:t>
      </w:r>
    </w:p>
    <w:p w14:paraId="29CA4D50" w14:textId="77777777" w:rsidR="003549E0" w:rsidRPr="00E95CF8" w:rsidRDefault="003549E0" w:rsidP="00C71BCB">
      <w:pPr>
        <w:pBdr>
          <w:left w:val="single" w:sz="4" w:space="4" w:color="auto"/>
        </w:pBdr>
        <w:tabs>
          <w:tab w:val="left" w:pos="851"/>
          <w:tab w:val="left" w:pos="1701"/>
        </w:tabs>
        <w:rPr>
          <w:rFonts w:cs="Arial"/>
          <w:b/>
          <w:bCs/>
          <w:sz w:val="16"/>
          <w:szCs w:val="16"/>
          <w:lang w:val="es-ES"/>
        </w:rPr>
      </w:pPr>
    </w:p>
    <w:p w14:paraId="51A5C012" w14:textId="291C77FC" w:rsidR="00EF4852" w:rsidRPr="00E95CF8" w:rsidRDefault="00B64889" w:rsidP="00C71BCB">
      <w:pPr>
        <w:pBdr>
          <w:left w:val="single" w:sz="4" w:space="4" w:color="auto"/>
        </w:pBdr>
        <w:tabs>
          <w:tab w:val="left" w:pos="851"/>
          <w:tab w:val="left" w:pos="1701"/>
        </w:tabs>
        <w:rPr>
          <w:rFonts w:cs="Arial"/>
          <w:b/>
          <w:bCs/>
          <w:sz w:val="16"/>
          <w:szCs w:val="16"/>
        </w:rPr>
      </w:pPr>
      <w:r w:rsidRPr="00E95CF8">
        <w:rPr>
          <w:rFonts w:cs="Arial"/>
          <w:b/>
          <w:bCs/>
          <w:sz w:val="16"/>
          <w:szCs w:val="16"/>
        </w:rPr>
        <w:t>1.</w:t>
      </w:r>
      <w:r w:rsidR="00B07FB9" w:rsidRPr="00E95CF8">
        <w:rPr>
          <w:rFonts w:cs="Arial"/>
          <w:b/>
          <w:bCs/>
          <w:sz w:val="16"/>
          <w:szCs w:val="16"/>
        </w:rPr>
        <w:t>7</w:t>
      </w:r>
      <w:r w:rsidRPr="00E95CF8">
        <w:rPr>
          <w:rFonts w:cs="Arial"/>
          <w:b/>
          <w:bCs/>
          <w:sz w:val="16"/>
          <w:szCs w:val="16"/>
        </w:rPr>
        <w:t>.2</w:t>
      </w:r>
      <w:r w:rsidR="00EF4852" w:rsidRPr="00E95CF8">
        <w:rPr>
          <w:rFonts w:cs="Arial"/>
          <w:b/>
          <w:bCs/>
          <w:sz w:val="16"/>
          <w:szCs w:val="16"/>
        </w:rPr>
        <w:t xml:space="preserve"> Instrumentos Financieros Derivados </w:t>
      </w:r>
      <w:r w:rsidR="000466B2" w:rsidRPr="00E95CF8">
        <w:rPr>
          <w:rFonts w:cs="Arial"/>
          <w:b/>
          <w:bCs/>
          <w:sz w:val="16"/>
          <w:szCs w:val="16"/>
        </w:rPr>
        <w:t xml:space="preserve">sobre Monedas, </w:t>
      </w:r>
      <w:r w:rsidR="00EF4852" w:rsidRPr="00E95CF8">
        <w:rPr>
          <w:rFonts w:cs="Arial"/>
          <w:b/>
          <w:bCs/>
          <w:sz w:val="16"/>
          <w:szCs w:val="16"/>
        </w:rPr>
        <w:t>Acciones</w:t>
      </w:r>
      <w:r w:rsidR="000466B2" w:rsidRPr="00E95CF8">
        <w:rPr>
          <w:rFonts w:cs="Arial"/>
          <w:b/>
          <w:bCs/>
          <w:sz w:val="16"/>
          <w:szCs w:val="16"/>
        </w:rPr>
        <w:t xml:space="preserve"> Colombia y Acciones Global, y </w:t>
      </w:r>
      <w:proofErr w:type="spellStart"/>
      <w:r w:rsidR="000466B2" w:rsidRPr="00E95CF8">
        <w:rPr>
          <w:rFonts w:cs="Arial"/>
          <w:b/>
          <w:bCs/>
          <w:i/>
          <w:sz w:val="16"/>
          <w:szCs w:val="16"/>
        </w:rPr>
        <w:t>commodities</w:t>
      </w:r>
      <w:proofErr w:type="spellEnd"/>
    </w:p>
    <w:p w14:paraId="024A7111" w14:textId="77777777" w:rsidR="004A327B" w:rsidRPr="00E95CF8" w:rsidRDefault="004A327B" w:rsidP="00EF4852">
      <w:pPr>
        <w:pBdr>
          <w:left w:val="single" w:sz="4" w:space="4" w:color="auto"/>
        </w:pBdr>
        <w:tabs>
          <w:tab w:val="left" w:pos="851"/>
          <w:tab w:val="left" w:pos="1701"/>
        </w:tabs>
        <w:rPr>
          <w:rFonts w:cs="Arial"/>
          <w:b/>
          <w:bCs/>
          <w:sz w:val="16"/>
          <w:szCs w:val="16"/>
        </w:rPr>
      </w:pPr>
    </w:p>
    <w:p w14:paraId="7A10A406" w14:textId="091D10BF" w:rsidR="00EF4852" w:rsidRPr="00E95CF8" w:rsidRDefault="00E95CF8" w:rsidP="00EF4852">
      <w:pPr>
        <w:pBdr>
          <w:left w:val="single" w:sz="4" w:space="4" w:color="auto"/>
        </w:pBdr>
        <w:tabs>
          <w:tab w:val="left" w:pos="851"/>
          <w:tab w:val="left" w:pos="1701"/>
        </w:tabs>
        <w:jc w:val="center"/>
        <w:rPr>
          <w:rFonts w:cs="Arial"/>
          <w:b/>
          <w:bCs/>
          <w:sz w:val="16"/>
          <w:szCs w:val="16"/>
        </w:rPr>
      </w:pPr>
      <m:oMathPara>
        <m:oMath>
          <m:r>
            <m:rPr>
              <m:sty m:val="bi"/>
            </m:rPr>
            <w:rPr>
              <w:rFonts w:ascii="Cambria Math" w:hAnsi="Cambria Math" w:cs="Arial"/>
              <w:sz w:val="16"/>
              <w:szCs w:val="16"/>
            </w:rPr>
            <m:t>VNA=VN</m:t>
          </m:r>
        </m:oMath>
      </m:oMathPara>
    </w:p>
    <w:p w14:paraId="0B89F107" w14:textId="77777777" w:rsidR="00EF4852" w:rsidRPr="00E95CF8" w:rsidRDefault="00EF4852" w:rsidP="00EF4852">
      <w:pPr>
        <w:pBdr>
          <w:left w:val="single" w:sz="4" w:space="4" w:color="auto"/>
        </w:pBdr>
        <w:tabs>
          <w:tab w:val="left" w:pos="851"/>
          <w:tab w:val="left" w:pos="1701"/>
        </w:tabs>
        <w:jc w:val="center"/>
        <w:rPr>
          <w:rFonts w:cs="Arial"/>
          <w:b/>
          <w:bCs/>
          <w:sz w:val="16"/>
          <w:szCs w:val="16"/>
        </w:rPr>
      </w:pPr>
    </w:p>
    <w:p w14:paraId="51128F40" w14:textId="77777777" w:rsidR="000466B2" w:rsidRPr="00E95CF8" w:rsidRDefault="00EF4852" w:rsidP="009F30D1">
      <w:pPr>
        <w:pBdr>
          <w:left w:val="single" w:sz="4" w:space="4" w:color="auto"/>
        </w:pBdr>
        <w:tabs>
          <w:tab w:val="left" w:pos="851"/>
          <w:tab w:val="left" w:pos="1701"/>
        </w:tabs>
        <w:rPr>
          <w:rFonts w:cs="Arial"/>
          <w:b/>
          <w:bCs/>
          <w:sz w:val="16"/>
          <w:szCs w:val="16"/>
          <w:lang w:val="es-ES"/>
        </w:rPr>
      </w:pPr>
      <w:r w:rsidRPr="00E95CF8">
        <w:rPr>
          <w:rFonts w:cs="Arial"/>
          <w:b/>
          <w:bCs/>
          <w:sz w:val="16"/>
          <w:szCs w:val="16"/>
        </w:rPr>
        <w:t xml:space="preserve">VN:  </w:t>
      </w:r>
      <w:r w:rsidRPr="00E95CF8">
        <w:rPr>
          <w:rFonts w:cs="Arial"/>
          <w:b/>
          <w:bCs/>
          <w:sz w:val="16"/>
          <w:szCs w:val="16"/>
          <w:lang w:val="es-ES"/>
        </w:rPr>
        <w:t>Valor</w:t>
      </w:r>
      <w:r w:rsidRPr="00E95CF8">
        <w:rPr>
          <w:rFonts w:cs="Arial"/>
          <w:b/>
          <w:bCs/>
          <w:sz w:val="16"/>
          <w:szCs w:val="16"/>
          <w:lang w:eastAsia="es-ES"/>
        </w:rPr>
        <w:t xml:space="preserve"> nominal o saldo remanente del </w:t>
      </w:r>
      <w:r w:rsidRPr="00E95CF8">
        <w:rPr>
          <w:rFonts w:cs="Arial"/>
          <w:b/>
          <w:bCs/>
          <w:sz w:val="16"/>
          <w:szCs w:val="16"/>
          <w:lang w:val="es-ES"/>
        </w:rPr>
        <w:t>instrumento financiero derivado</w:t>
      </w:r>
      <w:r w:rsidR="000466B2" w:rsidRPr="00E95CF8">
        <w:rPr>
          <w:rFonts w:cs="Arial"/>
          <w:b/>
          <w:bCs/>
          <w:sz w:val="16"/>
          <w:szCs w:val="16"/>
          <w:lang w:val="es-ES"/>
        </w:rPr>
        <w:t xml:space="preserve"> en pesos colombianos. </w:t>
      </w:r>
    </w:p>
    <w:p w14:paraId="53D4D002" w14:textId="2A0A2A84" w:rsidR="000466B2" w:rsidRPr="00E95CF8" w:rsidRDefault="000466B2" w:rsidP="009F30D1">
      <w:pPr>
        <w:pBdr>
          <w:left w:val="single" w:sz="4" w:space="4" w:color="auto"/>
        </w:pBdr>
        <w:tabs>
          <w:tab w:val="left" w:pos="851"/>
          <w:tab w:val="left" w:pos="1701"/>
        </w:tabs>
        <w:rPr>
          <w:rFonts w:cs="Arial"/>
          <w:b/>
          <w:bCs/>
          <w:sz w:val="16"/>
          <w:szCs w:val="16"/>
          <w:lang w:val="es-ES"/>
        </w:rPr>
      </w:pPr>
    </w:p>
    <w:p w14:paraId="0CBFFFCF" w14:textId="77777777" w:rsidR="009F30D1" w:rsidRDefault="009F30D1" w:rsidP="009F30D1">
      <w:pPr>
        <w:tabs>
          <w:tab w:val="left" w:pos="1701"/>
        </w:tabs>
        <w:rPr>
          <w:rFonts w:cs="Arial"/>
          <w:sz w:val="16"/>
          <w:szCs w:val="16"/>
          <w:lang w:eastAsia="es-ES"/>
        </w:rPr>
      </w:pPr>
    </w:p>
    <w:p w14:paraId="382543AE" w14:textId="77777777" w:rsidR="006A7398" w:rsidRPr="00B151C0" w:rsidRDefault="006A7398" w:rsidP="009F30D1">
      <w:pPr>
        <w:tabs>
          <w:tab w:val="left" w:pos="1701"/>
        </w:tabs>
        <w:rPr>
          <w:rFonts w:cs="Arial"/>
          <w:sz w:val="16"/>
          <w:szCs w:val="16"/>
          <w:lang w:eastAsia="es-ES"/>
        </w:rPr>
      </w:pPr>
    </w:p>
    <w:p w14:paraId="3CC55588" w14:textId="77777777" w:rsidR="009F30D1" w:rsidRPr="00B151C0" w:rsidRDefault="009F30D1" w:rsidP="009F30D1">
      <w:pPr>
        <w:pStyle w:val="Ttulo1"/>
        <w:spacing w:before="0" w:after="0"/>
        <w:rPr>
          <w:rFonts w:cs="Arial"/>
          <w:sz w:val="16"/>
          <w:szCs w:val="16"/>
        </w:rPr>
      </w:pPr>
      <w:bookmarkStart w:id="11" w:name="_Toc3399975"/>
      <w:r w:rsidRPr="00B151C0">
        <w:rPr>
          <w:rFonts w:cs="Arial"/>
          <w:sz w:val="16"/>
          <w:szCs w:val="16"/>
        </w:rPr>
        <w:t>2. EXPOSICIÓN CREDITICIA DE UN PRODUCTO ESTRUCTURADO</w:t>
      </w:r>
      <w:bookmarkEnd w:id="11"/>
    </w:p>
    <w:p w14:paraId="796F181F" w14:textId="77777777" w:rsidR="009F30D1" w:rsidRPr="00B151C0" w:rsidRDefault="009F30D1" w:rsidP="009F30D1">
      <w:pPr>
        <w:rPr>
          <w:rFonts w:cs="Arial"/>
          <w:kern w:val="28"/>
          <w:sz w:val="16"/>
          <w:szCs w:val="16"/>
          <w:lang w:eastAsia="es-ES"/>
        </w:rPr>
      </w:pPr>
    </w:p>
    <w:p w14:paraId="35FD55AC" w14:textId="77777777" w:rsidR="009F30D1" w:rsidRPr="00B151C0" w:rsidRDefault="009F30D1" w:rsidP="009F30D1">
      <w:pPr>
        <w:rPr>
          <w:rFonts w:cs="Arial"/>
          <w:sz w:val="16"/>
          <w:szCs w:val="16"/>
        </w:rPr>
      </w:pPr>
      <w:r w:rsidRPr="00B151C0">
        <w:rPr>
          <w:rFonts w:cs="Arial"/>
          <w:sz w:val="16"/>
          <w:szCs w:val="16"/>
        </w:rPr>
        <w:t>Para determinar la EC de un producto estructurado se contemplan los cuatro (4) eventos</w:t>
      </w:r>
      <w:r w:rsidRPr="007124B9">
        <w:rPr>
          <w:rFonts w:cs="Arial"/>
          <w:sz w:val="16"/>
          <w:szCs w:val="16"/>
        </w:rPr>
        <w:t xml:space="preserve"> </w:t>
      </w:r>
      <w:r w:rsidRPr="00B151C0">
        <w:rPr>
          <w:rFonts w:cs="Arial"/>
          <w:sz w:val="16"/>
          <w:szCs w:val="16"/>
        </w:rPr>
        <w:t>siguientes:</w:t>
      </w:r>
    </w:p>
    <w:p w14:paraId="52CC7D6D" w14:textId="77777777" w:rsidR="009F30D1" w:rsidRPr="00B151C0" w:rsidRDefault="009F30D1" w:rsidP="009F30D1">
      <w:pPr>
        <w:rPr>
          <w:rFonts w:cs="Arial"/>
          <w:sz w:val="16"/>
          <w:szCs w:val="16"/>
        </w:rPr>
      </w:pPr>
    </w:p>
    <w:p w14:paraId="09F4A58E" w14:textId="77777777" w:rsidR="009F30D1" w:rsidRPr="00B151C0" w:rsidRDefault="009F30D1" w:rsidP="009F30D1">
      <w:pPr>
        <w:rPr>
          <w:rFonts w:cs="Arial"/>
          <w:sz w:val="16"/>
          <w:szCs w:val="16"/>
        </w:rPr>
      </w:pPr>
      <w:r w:rsidRPr="00B151C0">
        <w:rPr>
          <w:rFonts w:cs="Arial"/>
          <w:sz w:val="16"/>
          <w:szCs w:val="16"/>
        </w:rPr>
        <w:t>2.1. Para una entidad vigilada de la SFC que emite un producto estructurado, la EC por éste es siempre igual a cero (0)</w:t>
      </w:r>
      <w:r>
        <w:rPr>
          <w:rFonts w:cs="Arial"/>
          <w:sz w:val="16"/>
          <w:szCs w:val="16"/>
        </w:rPr>
        <w:t>.</w:t>
      </w:r>
      <w:r w:rsidRPr="00B151C0">
        <w:rPr>
          <w:rFonts w:cs="Arial"/>
          <w:sz w:val="16"/>
          <w:szCs w:val="16"/>
        </w:rPr>
        <w:t xml:space="preserve"> </w:t>
      </w:r>
    </w:p>
    <w:p w14:paraId="097FDBBB" w14:textId="77777777" w:rsidR="009F30D1" w:rsidRPr="00B151C0" w:rsidRDefault="009F30D1" w:rsidP="009F30D1">
      <w:pPr>
        <w:rPr>
          <w:rFonts w:cs="Arial"/>
          <w:sz w:val="16"/>
          <w:szCs w:val="16"/>
        </w:rPr>
      </w:pPr>
    </w:p>
    <w:p w14:paraId="091D4FAE" w14:textId="77777777" w:rsidR="009F30D1" w:rsidRPr="00B151C0" w:rsidRDefault="009F30D1" w:rsidP="009F30D1">
      <w:pPr>
        <w:rPr>
          <w:rFonts w:cs="Arial"/>
          <w:sz w:val="16"/>
          <w:szCs w:val="16"/>
        </w:rPr>
      </w:pPr>
      <w:r w:rsidRPr="00B151C0">
        <w:rPr>
          <w:rFonts w:cs="Arial"/>
          <w:sz w:val="16"/>
          <w:szCs w:val="16"/>
        </w:rPr>
        <w:t xml:space="preserve">2.2. Para el caso de una entidad vigilada de la SFC que realice una inversión en un producto estructurado, cuyos componentes de instrumentos financieros derivados y no derivados provienen de un mismo emisor y no tienen existencia jurídica en forma separada, la exposición crediticia en la fecha de vencimiento del producto debe corresponder al capital pactado al vencimiento más los rendimientos que contractualmente debería recibir en dicha fecha. En cualquier fecha anterior al vencimiento, la EC por el producto estructurado es igual al valor razonable del instrumento financiero no derivado más la EC de los instrumentos financieros derivados que lo conforman. </w:t>
      </w:r>
    </w:p>
    <w:p w14:paraId="44868946" w14:textId="77777777" w:rsidR="009F30D1" w:rsidRPr="00B151C0" w:rsidRDefault="009F30D1" w:rsidP="009F30D1">
      <w:pPr>
        <w:rPr>
          <w:rFonts w:cs="Arial"/>
          <w:sz w:val="16"/>
          <w:szCs w:val="16"/>
        </w:rPr>
      </w:pPr>
    </w:p>
    <w:p w14:paraId="784D0BB5" w14:textId="77777777" w:rsidR="009F30D1" w:rsidRPr="00B151C0" w:rsidRDefault="009F30D1" w:rsidP="009F30D1">
      <w:pPr>
        <w:rPr>
          <w:rFonts w:cs="Arial"/>
          <w:sz w:val="16"/>
          <w:szCs w:val="16"/>
          <w:lang w:val="es-CO"/>
        </w:rPr>
      </w:pPr>
      <w:r w:rsidRPr="00B151C0">
        <w:rPr>
          <w:rFonts w:cs="Arial"/>
          <w:sz w:val="16"/>
          <w:szCs w:val="16"/>
        </w:rPr>
        <w:t xml:space="preserve">Cuando </w:t>
      </w:r>
      <w:r>
        <w:rPr>
          <w:rFonts w:cs="Arial"/>
          <w:sz w:val="16"/>
          <w:szCs w:val="16"/>
        </w:rPr>
        <w:t xml:space="preserve">el valor razonable del producto estructurado es </w:t>
      </w:r>
      <w:r w:rsidRPr="00B151C0">
        <w:rPr>
          <w:rFonts w:cs="Arial"/>
          <w:sz w:val="16"/>
          <w:szCs w:val="16"/>
        </w:rPr>
        <w:t>el precio de referencia diario del emisor, de acuerdo con las instrucciones señaladas en los numerales 7.2 y 7.2.</w:t>
      </w:r>
      <w:r>
        <w:rPr>
          <w:rFonts w:cs="Arial"/>
          <w:sz w:val="16"/>
          <w:szCs w:val="16"/>
        </w:rPr>
        <w:t>5</w:t>
      </w:r>
      <w:r w:rsidRPr="00B151C0">
        <w:rPr>
          <w:rFonts w:cs="Arial"/>
          <w:sz w:val="16"/>
          <w:szCs w:val="16"/>
        </w:rPr>
        <w:t xml:space="preserve"> del presente Capítulo, el cómputo de la EC</w:t>
      </w:r>
      <w:r w:rsidRPr="00B151C0">
        <w:rPr>
          <w:rFonts w:cs="Arial"/>
          <w:sz w:val="16"/>
          <w:szCs w:val="16"/>
          <w:lang w:val="es-CO"/>
        </w:rPr>
        <w:t xml:space="preserve"> equivale a la suma de dicho valor más la EPF futura del componente derivado del producto, la cual se calcula según lo establecido en el numeral 1 del presente Anexo</w:t>
      </w:r>
      <w:r>
        <w:rPr>
          <w:rFonts w:cs="Arial"/>
          <w:sz w:val="16"/>
          <w:szCs w:val="16"/>
          <w:lang w:val="es-CO"/>
        </w:rPr>
        <w:t>.</w:t>
      </w:r>
    </w:p>
    <w:p w14:paraId="3EC71152" w14:textId="77777777" w:rsidR="009F30D1" w:rsidRPr="00235A37" w:rsidRDefault="009F30D1" w:rsidP="009F30D1">
      <w:pPr>
        <w:rPr>
          <w:rFonts w:cs="Arial"/>
          <w:sz w:val="16"/>
          <w:szCs w:val="16"/>
        </w:rPr>
      </w:pPr>
    </w:p>
    <w:p w14:paraId="1641D042" w14:textId="12CE679E" w:rsidR="00292A56" w:rsidRPr="007C12E5" w:rsidRDefault="009F30D1" w:rsidP="00E45B0D">
      <w:pPr>
        <w:rPr>
          <w:rFonts w:cs="Arial"/>
          <w:sz w:val="16"/>
          <w:szCs w:val="16"/>
        </w:rPr>
      </w:pPr>
      <w:r w:rsidRPr="00235A37">
        <w:rPr>
          <w:rFonts w:cs="Arial"/>
          <w:sz w:val="16"/>
          <w:szCs w:val="16"/>
        </w:rPr>
        <w:t xml:space="preserve">2.3. </w:t>
      </w:r>
      <w:r w:rsidRPr="00B151C0">
        <w:rPr>
          <w:rFonts w:cs="Arial"/>
          <w:sz w:val="16"/>
          <w:szCs w:val="16"/>
        </w:rPr>
        <w:t>Cuando una entidad vigilada no sea emisora del producto estructurado, sino que adquiera los distintos componentes de instrumentos financieros derivados y no derivados para generar un producto estructurado para la venta, la EC de esa entidad por</w:t>
      </w:r>
      <w:r w:rsidR="00235A37">
        <w:rPr>
          <w:rFonts w:cs="Arial"/>
          <w:sz w:val="16"/>
          <w:szCs w:val="16"/>
        </w:rPr>
        <w:t xml:space="preserve"> </w:t>
      </w:r>
      <w:r w:rsidRPr="00B151C0">
        <w:rPr>
          <w:rFonts w:cs="Arial"/>
          <w:sz w:val="16"/>
          <w:szCs w:val="16"/>
        </w:rPr>
        <w:t xml:space="preserve"> concepto</w:t>
      </w:r>
      <w:r w:rsidR="00235A37">
        <w:rPr>
          <w:rFonts w:cs="Arial"/>
          <w:sz w:val="16"/>
          <w:szCs w:val="16"/>
        </w:rPr>
        <w:t xml:space="preserve"> </w:t>
      </w:r>
      <w:r w:rsidRPr="00B151C0">
        <w:rPr>
          <w:rFonts w:cs="Arial"/>
          <w:sz w:val="16"/>
          <w:szCs w:val="16"/>
        </w:rPr>
        <w:t xml:space="preserve"> del </w:t>
      </w:r>
      <w:r w:rsidR="00235A37">
        <w:rPr>
          <w:rFonts w:cs="Arial"/>
          <w:sz w:val="16"/>
          <w:szCs w:val="16"/>
        </w:rPr>
        <w:t xml:space="preserve"> </w:t>
      </w:r>
      <w:r w:rsidRPr="00B151C0">
        <w:rPr>
          <w:rFonts w:cs="Arial"/>
          <w:sz w:val="16"/>
          <w:szCs w:val="16"/>
        </w:rPr>
        <w:t xml:space="preserve">mismo </w:t>
      </w:r>
      <w:r w:rsidR="00235A37">
        <w:rPr>
          <w:rFonts w:cs="Arial"/>
          <w:sz w:val="16"/>
          <w:szCs w:val="16"/>
        </w:rPr>
        <w:t xml:space="preserve"> </w:t>
      </w:r>
      <w:proofErr w:type="gramStart"/>
      <w:r w:rsidRPr="00B151C0">
        <w:rPr>
          <w:rFonts w:cs="Arial"/>
          <w:sz w:val="16"/>
          <w:szCs w:val="16"/>
        </w:rPr>
        <w:t xml:space="preserve">es </w:t>
      </w:r>
      <w:r w:rsidR="00235A37">
        <w:rPr>
          <w:rFonts w:cs="Arial"/>
          <w:sz w:val="16"/>
          <w:szCs w:val="16"/>
        </w:rPr>
        <w:t xml:space="preserve"> </w:t>
      </w:r>
      <w:r w:rsidRPr="00B151C0">
        <w:rPr>
          <w:rFonts w:cs="Arial"/>
          <w:sz w:val="16"/>
          <w:szCs w:val="16"/>
        </w:rPr>
        <w:t>cero</w:t>
      </w:r>
      <w:proofErr w:type="gramEnd"/>
      <w:r w:rsidRPr="00B151C0">
        <w:rPr>
          <w:rFonts w:cs="Arial"/>
          <w:sz w:val="16"/>
          <w:szCs w:val="16"/>
        </w:rPr>
        <w:t xml:space="preserve"> </w:t>
      </w:r>
      <w:r w:rsidR="00235A37">
        <w:rPr>
          <w:rFonts w:cs="Arial"/>
          <w:sz w:val="16"/>
          <w:szCs w:val="16"/>
        </w:rPr>
        <w:t xml:space="preserve"> </w:t>
      </w:r>
      <w:r w:rsidRPr="00B151C0">
        <w:rPr>
          <w:rFonts w:cs="Arial"/>
          <w:sz w:val="16"/>
          <w:szCs w:val="16"/>
        </w:rPr>
        <w:t xml:space="preserve">(0) </w:t>
      </w:r>
      <w:r w:rsidR="00235A37">
        <w:rPr>
          <w:rFonts w:cs="Arial"/>
          <w:sz w:val="16"/>
          <w:szCs w:val="16"/>
        </w:rPr>
        <w:t xml:space="preserve"> </w:t>
      </w:r>
      <w:r w:rsidRPr="00B151C0">
        <w:rPr>
          <w:rFonts w:cs="Arial"/>
          <w:sz w:val="16"/>
          <w:szCs w:val="16"/>
        </w:rPr>
        <w:t xml:space="preserve">una </w:t>
      </w:r>
      <w:r w:rsidR="00235A37">
        <w:rPr>
          <w:rFonts w:cs="Arial"/>
          <w:sz w:val="16"/>
          <w:szCs w:val="16"/>
        </w:rPr>
        <w:t xml:space="preserve"> </w:t>
      </w:r>
      <w:r w:rsidRPr="00B151C0">
        <w:rPr>
          <w:rFonts w:cs="Arial"/>
          <w:sz w:val="16"/>
          <w:szCs w:val="16"/>
        </w:rPr>
        <w:t>vez</w:t>
      </w:r>
      <w:r w:rsidR="00235A37">
        <w:rPr>
          <w:rFonts w:cs="Arial"/>
          <w:sz w:val="16"/>
          <w:szCs w:val="16"/>
        </w:rPr>
        <w:t xml:space="preserve"> </w:t>
      </w:r>
      <w:r w:rsidRPr="00B151C0">
        <w:rPr>
          <w:rFonts w:cs="Arial"/>
          <w:sz w:val="16"/>
          <w:szCs w:val="16"/>
        </w:rPr>
        <w:t xml:space="preserve"> lo</w:t>
      </w:r>
      <w:r w:rsidR="00235A37">
        <w:rPr>
          <w:rFonts w:cs="Arial"/>
          <w:sz w:val="16"/>
          <w:szCs w:val="16"/>
        </w:rPr>
        <w:t xml:space="preserve"> </w:t>
      </w:r>
      <w:r w:rsidRPr="00B151C0">
        <w:rPr>
          <w:rFonts w:cs="Arial"/>
          <w:sz w:val="16"/>
          <w:szCs w:val="16"/>
        </w:rPr>
        <w:t xml:space="preserve"> haya</w:t>
      </w:r>
      <w:r w:rsidR="00235A37">
        <w:rPr>
          <w:rFonts w:cs="Arial"/>
          <w:sz w:val="16"/>
          <w:szCs w:val="16"/>
        </w:rPr>
        <w:t xml:space="preserve"> </w:t>
      </w:r>
      <w:r w:rsidRPr="00B151C0">
        <w:rPr>
          <w:rFonts w:cs="Arial"/>
          <w:sz w:val="16"/>
          <w:szCs w:val="16"/>
        </w:rPr>
        <w:t xml:space="preserve"> vendido,</w:t>
      </w:r>
      <w:r w:rsidR="00235A37">
        <w:rPr>
          <w:rFonts w:cs="Arial"/>
          <w:sz w:val="16"/>
          <w:szCs w:val="16"/>
        </w:rPr>
        <w:t xml:space="preserve"> </w:t>
      </w:r>
      <w:r w:rsidRPr="00B151C0">
        <w:rPr>
          <w:rFonts w:cs="Arial"/>
          <w:sz w:val="16"/>
          <w:szCs w:val="16"/>
        </w:rPr>
        <w:t xml:space="preserve"> siempre</w:t>
      </w:r>
      <w:r w:rsidR="00235A37">
        <w:rPr>
          <w:rFonts w:cs="Arial"/>
          <w:sz w:val="16"/>
          <w:szCs w:val="16"/>
        </w:rPr>
        <w:t xml:space="preserve"> </w:t>
      </w:r>
      <w:r w:rsidRPr="00B151C0">
        <w:rPr>
          <w:rFonts w:cs="Arial"/>
          <w:sz w:val="16"/>
          <w:szCs w:val="16"/>
        </w:rPr>
        <w:t xml:space="preserve"> y </w:t>
      </w:r>
      <w:r w:rsidR="00235A37">
        <w:rPr>
          <w:rFonts w:cs="Arial"/>
          <w:sz w:val="16"/>
          <w:szCs w:val="16"/>
        </w:rPr>
        <w:t xml:space="preserve"> </w:t>
      </w:r>
      <w:r w:rsidRPr="00B151C0">
        <w:rPr>
          <w:rFonts w:cs="Arial"/>
          <w:sz w:val="16"/>
          <w:szCs w:val="16"/>
        </w:rPr>
        <w:t xml:space="preserve">cuando </w:t>
      </w:r>
      <w:r w:rsidR="00235A37">
        <w:rPr>
          <w:rFonts w:cs="Arial"/>
          <w:sz w:val="16"/>
          <w:szCs w:val="16"/>
        </w:rPr>
        <w:t xml:space="preserve"> </w:t>
      </w:r>
      <w:r w:rsidRPr="00B151C0">
        <w:rPr>
          <w:rFonts w:cs="Arial"/>
          <w:sz w:val="16"/>
          <w:szCs w:val="16"/>
        </w:rPr>
        <w:t>la</w:t>
      </w:r>
      <w:r w:rsidR="00235A37">
        <w:rPr>
          <w:rFonts w:cs="Arial"/>
          <w:sz w:val="16"/>
          <w:szCs w:val="16"/>
        </w:rPr>
        <w:t xml:space="preserve"> </w:t>
      </w:r>
      <w:r w:rsidRPr="00B151C0">
        <w:rPr>
          <w:rFonts w:cs="Arial"/>
          <w:sz w:val="16"/>
          <w:szCs w:val="16"/>
        </w:rPr>
        <w:t xml:space="preserve"> entidad</w:t>
      </w:r>
      <w:r w:rsidR="00235A37">
        <w:rPr>
          <w:rFonts w:cs="Arial"/>
          <w:sz w:val="16"/>
          <w:szCs w:val="16"/>
        </w:rPr>
        <w:t xml:space="preserve"> </w:t>
      </w:r>
      <w:r w:rsidRPr="00B151C0">
        <w:rPr>
          <w:rFonts w:cs="Arial"/>
          <w:sz w:val="16"/>
          <w:szCs w:val="16"/>
        </w:rPr>
        <w:t xml:space="preserve"> establezca </w:t>
      </w:r>
      <w:r w:rsidR="00235A37">
        <w:rPr>
          <w:rFonts w:cs="Arial"/>
          <w:sz w:val="16"/>
          <w:szCs w:val="16"/>
        </w:rPr>
        <w:t xml:space="preserve"> </w:t>
      </w:r>
      <w:r w:rsidRPr="00B151C0">
        <w:rPr>
          <w:rFonts w:cs="Arial"/>
          <w:sz w:val="16"/>
          <w:szCs w:val="16"/>
        </w:rPr>
        <w:t xml:space="preserve">expresamente </w:t>
      </w:r>
      <w:r w:rsidR="00235A37">
        <w:rPr>
          <w:rFonts w:cs="Arial"/>
          <w:sz w:val="16"/>
          <w:szCs w:val="16"/>
        </w:rPr>
        <w:t xml:space="preserve"> </w:t>
      </w:r>
      <w:r w:rsidRPr="00B151C0">
        <w:rPr>
          <w:rFonts w:cs="Arial"/>
          <w:sz w:val="16"/>
          <w:szCs w:val="16"/>
        </w:rPr>
        <w:t>en</w:t>
      </w:r>
      <w:r w:rsidR="00235A37">
        <w:rPr>
          <w:rFonts w:cs="Arial"/>
          <w:sz w:val="16"/>
          <w:szCs w:val="16"/>
        </w:rPr>
        <w:t xml:space="preserve"> </w:t>
      </w:r>
      <w:r w:rsidRPr="00B151C0">
        <w:rPr>
          <w:rFonts w:cs="Arial"/>
          <w:sz w:val="16"/>
          <w:szCs w:val="16"/>
        </w:rPr>
        <w:t xml:space="preserve"> el prospecto del producto estructurado que ella obra como un vendedor pero no tiene la calidad de emisor del respectivo </w:t>
      </w:r>
      <w:r w:rsidR="003313EB">
        <w:rPr>
          <w:rFonts w:cs="Arial"/>
          <w:sz w:val="16"/>
          <w:szCs w:val="16"/>
        </w:rPr>
        <w:t xml:space="preserve"> </w:t>
      </w:r>
    </w:p>
    <w:sectPr w:rsidR="00292A56" w:rsidRPr="007C12E5" w:rsidSect="004D4ACB">
      <w:headerReference w:type="default" r:id="rId23"/>
      <w:pgSz w:w="12242" w:h="18722" w:code="14"/>
      <w:pgMar w:top="1701" w:right="1701" w:bottom="1701" w:left="1701" w:header="680" w:footer="1003" w:gutter="0"/>
      <w:paperSrc w:first="3" w:other="3"/>
      <w:pgNumType w:start="24"/>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1F78A" w14:textId="77777777" w:rsidR="001A4599" w:rsidRDefault="001A4599">
      <w:r>
        <w:separator/>
      </w:r>
    </w:p>
  </w:endnote>
  <w:endnote w:type="continuationSeparator" w:id="0">
    <w:p w14:paraId="2803E61B" w14:textId="77777777" w:rsidR="001A4599" w:rsidRDefault="001A4599">
      <w:r>
        <w:continuationSeparator/>
      </w:r>
    </w:p>
  </w:endnote>
  <w:endnote w:type="continuationNotice" w:id="1">
    <w:p w14:paraId="54E2DE7B" w14:textId="77777777" w:rsidR="001A4599" w:rsidRDefault="001A45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E27DE" w14:textId="77777777" w:rsidR="00094D90" w:rsidRDefault="00094D90" w:rsidP="00094D90">
    <w:pPr>
      <w:pStyle w:val="Piedepgina"/>
      <w:tabs>
        <w:tab w:val="clear" w:pos="8504"/>
        <w:tab w:val="right" w:pos="9356"/>
      </w:tabs>
      <w:rPr>
        <w:b/>
        <w:sz w:val="18"/>
      </w:rPr>
    </w:pPr>
  </w:p>
  <w:p w14:paraId="2C7C630B" w14:textId="6D552E24" w:rsidR="00094D90" w:rsidRDefault="00094D90" w:rsidP="00094D90">
    <w:pPr>
      <w:pStyle w:val="Piedepgina"/>
      <w:tabs>
        <w:tab w:val="clear" w:pos="8504"/>
        <w:tab w:val="right" w:pos="9356"/>
      </w:tabs>
      <w:rPr>
        <w:b/>
        <w:color w:val="FF0000"/>
        <w:sz w:val="18"/>
      </w:rPr>
    </w:pPr>
    <w:r>
      <w:rPr>
        <w:b/>
        <w:sz w:val="18"/>
      </w:rPr>
      <w:t xml:space="preserve">Circular Externa           </w:t>
    </w:r>
    <w:r w:rsidR="00986B37">
      <w:rPr>
        <w:b/>
        <w:sz w:val="18"/>
      </w:rPr>
      <w:t xml:space="preserve">   </w:t>
    </w:r>
    <w:r>
      <w:rPr>
        <w:b/>
        <w:sz w:val="18"/>
      </w:rPr>
      <w:t xml:space="preserve">   de 20</w:t>
    </w:r>
    <w:r w:rsidR="00986B37">
      <w:rPr>
        <w:b/>
        <w:sz w:val="18"/>
      </w:rPr>
      <w:t>23</w:t>
    </w:r>
    <w:r>
      <w:rPr>
        <w:b/>
        <w:sz w:val="18"/>
      </w:rPr>
      <w:t xml:space="preserve">                                                     </w:t>
    </w:r>
    <w:r w:rsidR="00986B37">
      <w:rPr>
        <w:b/>
        <w:sz w:val="18"/>
      </w:rPr>
      <w:t xml:space="preserve">                        </w:t>
    </w:r>
    <w:r>
      <w:rPr>
        <w:b/>
        <w:sz w:val="18"/>
      </w:rPr>
      <w:t xml:space="preserve">                              </w:t>
    </w:r>
    <w:r w:rsidR="005C661C">
      <w:rPr>
        <w:b/>
        <w:sz w:val="18"/>
      </w:rPr>
      <w:t>de</w:t>
    </w:r>
    <w:r>
      <w:rPr>
        <w:b/>
        <w:sz w:val="18"/>
      </w:rPr>
      <w:t xml:space="preserve"> 2023</w:t>
    </w:r>
  </w:p>
  <w:p w14:paraId="4F988EBD" w14:textId="77777777" w:rsidR="00094D90" w:rsidRDefault="00094D9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573DD" w14:textId="77777777" w:rsidR="001A4599" w:rsidRDefault="001A4599">
      <w:r>
        <w:separator/>
      </w:r>
    </w:p>
  </w:footnote>
  <w:footnote w:type="continuationSeparator" w:id="0">
    <w:p w14:paraId="130A5649" w14:textId="77777777" w:rsidR="001A4599" w:rsidRDefault="001A4599">
      <w:r>
        <w:continuationSeparator/>
      </w:r>
    </w:p>
  </w:footnote>
  <w:footnote w:type="continuationNotice" w:id="1">
    <w:p w14:paraId="3506B4C1" w14:textId="77777777" w:rsidR="001A4599" w:rsidRDefault="001A45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5B798" w14:textId="77777777" w:rsidR="0027039E" w:rsidRDefault="0027039E">
    <w:pPr>
      <w:pStyle w:val="Encabezado"/>
      <w:jc w:val="center"/>
      <w:rPr>
        <w:rFonts w:cs="Arial"/>
        <w:b/>
        <w:snapToGrid w:val="0"/>
        <w:szCs w:val="24"/>
      </w:rPr>
    </w:pPr>
    <w:r>
      <w:rPr>
        <w:rFonts w:cs="Arial"/>
        <w:b/>
        <w:snapToGrid w:val="0"/>
        <w:szCs w:val="24"/>
      </w:rPr>
      <w:t>SUPERINTENDENCIA FINANCIERA DE COLOMBIA</w:t>
    </w:r>
  </w:p>
  <w:p w14:paraId="35B0FBD7" w14:textId="77777777" w:rsidR="0027039E" w:rsidRDefault="0027039E">
    <w:pPr>
      <w:pStyle w:val="Encabezado"/>
      <w:rPr>
        <w:snapToGrid w:val="0"/>
        <w:sz w:val="18"/>
        <w:szCs w:val="18"/>
      </w:rPr>
    </w:pPr>
  </w:p>
  <w:p w14:paraId="61BA34BB" w14:textId="77777777" w:rsidR="0027039E" w:rsidRDefault="0027039E">
    <w:pPr>
      <w:pStyle w:val="Encabezado"/>
      <w:rPr>
        <w:snapToGrid w:val="0"/>
        <w:sz w:val="18"/>
        <w:szCs w:val="18"/>
      </w:rPr>
    </w:pPr>
  </w:p>
  <w:p w14:paraId="3F85CAAB" w14:textId="77777777" w:rsidR="0027039E" w:rsidRDefault="0027039E" w:rsidP="00510294">
    <w:pPr>
      <w:pStyle w:val="Encabezado"/>
      <w:rPr>
        <w:snapToGrid w:val="0"/>
        <w:sz w:val="18"/>
        <w:szCs w:val="18"/>
      </w:rPr>
    </w:pPr>
    <w:r>
      <w:rPr>
        <w:b/>
        <w:sz w:val="18"/>
      </w:rPr>
      <w:t>CAPITULO XVIII -</w:t>
    </w:r>
    <w:r w:rsidRPr="001A6807">
      <w:rPr>
        <w:b/>
        <w:sz w:val="22"/>
        <w:szCs w:val="22"/>
      </w:rPr>
      <w:t xml:space="preserve"> </w:t>
    </w:r>
    <w:r w:rsidRPr="001A6807">
      <w:rPr>
        <w:b/>
        <w:sz w:val="18"/>
      </w:rPr>
      <w:t>INSTRUMENTOS FINANCIEROS DERIVADOS Y PRODUCTOS ESTRUCTURADOS</w:t>
    </w:r>
    <w:r>
      <w:rPr>
        <w:snapToGrid w:val="0"/>
        <w:sz w:val="18"/>
        <w:szCs w:val="18"/>
      </w:rPr>
      <w:t xml:space="preserve"> </w:t>
    </w:r>
  </w:p>
  <w:p w14:paraId="0ABCC8B5" w14:textId="5AE4830F" w:rsidR="0027039E" w:rsidRDefault="0027039E" w:rsidP="00E945AC">
    <w:pPr>
      <w:pStyle w:val="Encabezado"/>
      <w:rPr>
        <w:b/>
        <w:snapToGrid w:val="0"/>
        <w:sz w:val="18"/>
        <w:szCs w:val="18"/>
      </w:rPr>
    </w:pPr>
    <w:r w:rsidRPr="001A6807">
      <w:rPr>
        <w:b/>
        <w:snapToGrid w:val="0"/>
        <w:sz w:val="18"/>
        <w:szCs w:val="18"/>
      </w:rPr>
      <w:t xml:space="preserve">Página </w:t>
    </w:r>
    <w:r>
      <w:rPr>
        <w:b/>
        <w:snapToGrid w:val="0"/>
        <w:sz w:val="18"/>
        <w:szCs w:val="18"/>
      </w:rPr>
      <w:t>2</w:t>
    </w:r>
    <w:r w:rsidR="00042532">
      <w:rPr>
        <w:b/>
        <w:snapToGrid w:val="0"/>
        <w:sz w:val="18"/>
        <w:szCs w:val="18"/>
      </w:rPr>
      <w:t>0</w:t>
    </w:r>
  </w:p>
  <w:p w14:paraId="076C7F48" w14:textId="77777777" w:rsidR="0027039E" w:rsidRPr="00510294" w:rsidRDefault="0027039E" w:rsidP="00510294">
    <w:pPr>
      <w:pStyle w:val="Encabezado"/>
      <w:ind w:right="360"/>
      <w:rPr>
        <w:b/>
        <w:sz w:val="18"/>
      </w:rPr>
    </w:pPr>
    <w:r>
      <w:rPr>
        <w:b/>
        <w:sz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EA37A" w14:textId="77777777" w:rsidR="005C357F" w:rsidRDefault="005C357F">
    <w:pPr>
      <w:pStyle w:val="Encabezado"/>
      <w:jc w:val="center"/>
      <w:rPr>
        <w:rFonts w:cs="Arial"/>
        <w:b/>
        <w:snapToGrid w:val="0"/>
        <w:szCs w:val="24"/>
      </w:rPr>
    </w:pPr>
    <w:r>
      <w:rPr>
        <w:rFonts w:cs="Arial"/>
        <w:b/>
        <w:snapToGrid w:val="0"/>
        <w:szCs w:val="24"/>
      </w:rPr>
      <w:t>SUPERINTENDENCIA FINANCIERA DE COLOMBIA</w:t>
    </w:r>
  </w:p>
  <w:p w14:paraId="0C22629B" w14:textId="77777777" w:rsidR="005C357F" w:rsidRDefault="005C357F">
    <w:pPr>
      <w:pStyle w:val="Encabezado"/>
      <w:rPr>
        <w:snapToGrid w:val="0"/>
        <w:sz w:val="18"/>
        <w:szCs w:val="18"/>
      </w:rPr>
    </w:pPr>
  </w:p>
  <w:p w14:paraId="1E2D7B46" w14:textId="77777777" w:rsidR="005C357F" w:rsidRDefault="005C357F">
    <w:pPr>
      <w:pStyle w:val="Encabezado"/>
      <w:rPr>
        <w:snapToGrid w:val="0"/>
        <w:sz w:val="18"/>
        <w:szCs w:val="18"/>
      </w:rPr>
    </w:pPr>
  </w:p>
  <w:p w14:paraId="51DEF14A" w14:textId="77777777" w:rsidR="005C357F" w:rsidRDefault="005C357F" w:rsidP="00510294">
    <w:pPr>
      <w:pStyle w:val="Encabezado"/>
      <w:rPr>
        <w:snapToGrid w:val="0"/>
        <w:sz w:val="18"/>
        <w:szCs w:val="18"/>
      </w:rPr>
    </w:pPr>
    <w:r>
      <w:rPr>
        <w:b/>
        <w:sz w:val="18"/>
      </w:rPr>
      <w:t>CAPITULO XVIII -</w:t>
    </w:r>
    <w:r w:rsidRPr="001A6807">
      <w:rPr>
        <w:b/>
        <w:sz w:val="22"/>
        <w:szCs w:val="22"/>
      </w:rPr>
      <w:t xml:space="preserve"> </w:t>
    </w:r>
    <w:r w:rsidRPr="001A6807">
      <w:rPr>
        <w:b/>
        <w:sz w:val="18"/>
      </w:rPr>
      <w:t>INSTRUMENTOS FINANCIEROS DERIVADOS Y PRODUCTOS ESTRUCTURADOS</w:t>
    </w:r>
    <w:r>
      <w:rPr>
        <w:snapToGrid w:val="0"/>
        <w:sz w:val="18"/>
        <w:szCs w:val="18"/>
      </w:rPr>
      <w:t xml:space="preserve"> </w:t>
    </w:r>
  </w:p>
  <w:p w14:paraId="70DB7AF2" w14:textId="47FD6FAA" w:rsidR="005C357F" w:rsidRDefault="005C357F" w:rsidP="00E945AC">
    <w:pPr>
      <w:pStyle w:val="Encabezado"/>
      <w:rPr>
        <w:b/>
        <w:snapToGrid w:val="0"/>
        <w:sz w:val="18"/>
        <w:szCs w:val="18"/>
      </w:rPr>
    </w:pPr>
    <w:r w:rsidRPr="001A6807">
      <w:rPr>
        <w:b/>
        <w:snapToGrid w:val="0"/>
        <w:sz w:val="18"/>
        <w:szCs w:val="18"/>
      </w:rPr>
      <w:t xml:space="preserve">Página </w:t>
    </w:r>
    <w:r>
      <w:rPr>
        <w:b/>
        <w:snapToGrid w:val="0"/>
        <w:sz w:val="18"/>
        <w:szCs w:val="18"/>
      </w:rPr>
      <w:t>2</w:t>
    </w:r>
    <w:r w:rsidR="00BC7B0E">
      <w:rPr>
        <w:b/>
        <w:snapToGrid w:val="0"/>
        <w:sz w:val="18"/>
        <w:szCs w:val="18"/>
      </w:rPr>
      <w:t>1</w:t>
    </w:r>
  </w:p>
  <w:p w14:paraId="2F0898AA" w14:textId="77777777" w:rsidR="005C357F" w:rsidRPr="00510294" w:rsidRDefault="005C357F" w:rsidP="00510294">
    <w:pPr>
      <w:pStyle w:val="Encabezado"/>
      <w:ind w:right="360"/>
      <w:rPr>
        <w:b/>
        <w:sz w:val="18"/>
      </w:rPr>
    </w:pPr>
    <w:r>
      <w:rPr>
        <w:b/>
        <w:sz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7C14" w14:textId="77777777" w:rsidR="00BC7B0E" w:rsidRDefault="00BC7B0E">
    <w:pPr>
      <w:pStyle w:val="Encabezado"/>
      <w:jc w:val="center"/>
      <w:rPr>
        <w:rFonts w:cs="Arial"/>
        <w:b/>
        <w:snapToGrid w:val="0"/>
        <w:szCs w:val="24"/>
      </w:rPr>
    </w:pPr>
    <w:r>
      <w:rPr>
        <w:rFonts w:cs="Arial"/>
        <w:b/>
        <w:snapToGrid w:val="0"/>
        <w:szCs w:val="24"/>
      </w:rPr>
      <w:t>SUPERINTENDENCIA FINANCIERA DE COLOMBIA</w:t>
    </w:r>
  </w:p>
  <w:p w14:paraId="3C18FF1B" w14:textId="77777777" w:rsidR="00BC7B0E" w:rsidRDefault="00BC7B0E">
    <w:pPr>
      <w:pStyle w:val="Encabezado"/>
      <w:rPr>
        <w:snapToGrid w:val="0"/>
        <w:sz w:val="18"/>
        <w:szCs w:val="18"/>
      </w:rPr>
    </w:pPr>
  </w:p>
  <w:p w14:paraId="25FF81C2" w14:textId="77777777" w:rsidR="00BC7B0E" w:rsidRDefault="00BC7B0E">
    <w:pPr>
      <w:pStyle w:val="Encabezado"/>
      <w:rPr>
        <w:snapToGrid w:val="0"/>
        <w:sz w:val="18"/>
        <w:szCs w:val="18"/>
      </w:rPr>
    </w:pPr>
  </w:p>
  <w:p w14:paraId="5621A5E0" w14:textId="77777777" w:rsidR="00BC7B0E" w:rsidRDefault="00BC7B0E" w:rsidP="00510294">
    <w:pPr>
      <w:pStyle w:val="Encabezado"/>
      <w:rPr>
        <w:snapToGrid w:val="0"/>
        <w:sz w:val="18"/>
        <w:szCs w:val="18"/>
      </w:rPr>
    </w:pPr>
    <w:r>
      <w:rPr>
        <w:b/>
        <w:sz w:val="18"/>
      </w:rPr>
      <w:t>CAPITULO XVIII -</w:t>
    </w:r>
    <w:r w:rsidRPr="001A6807">
      <w:rPr>
        <w:b/>
        <w:sz w:val="22"/>
        <w:szCs w:val="22"/>
      </w:rPr>
      <w:t xml:space="preserve"> </w:t>
    </w:r>
    <w:r w:rsidRPr="001A6807">
      <w:rPr>
        <w:b/>
        <w:sz w:val="18"/>
      </w:rPr>
      <w:t>INSTRUMENTOS FINANCIEROS DERIVADOS Y PRODUCTOS ESTRUCTURADOS</w:t>
    </w:r>
    <w:r>
      <w:rPr>
        <w:snapToGrid w:val="0"/>
        <w:sz w:val="18"/>
        <w:szCs w:val="18"/>
      </w:rPr>
      <w:t xml:space="preserve"> </w:t>
    </w:r>
  </w:p>
  <w:p w14:paraId="63E55744" w14:textId="4DB90CFD" w:rsidR="00BC7B0E" w:rsidRDefault="00BC7B0E" w:rsidP="00E945AC">
    <w:pPr>
      <w:pStyle w:val="Encabezado"/>
      <w:rPr>
        <w:b/>
        <w:snapToGrid w:val="0"/>
        <w:sz w:val="18"/>
        <w:szCs w:val="18"/>
      </w:rPr>
    </w:pPr>
    <w:r w:rsidRPr="001A6807">
      <w:rPr>
        <w:b/>
        <w:snapToGrid w:val="0"/>
        <w:sz w:val="18"/>
        <w:szCs w:val="18"/>
      </w:rPr>
      <w:t xml:space="preserve">Página </w:t>
    </w:r>
    <w:r>
      <w:rPr>
        <w:b/>
        <w:snapToGrid w:val="0"/>
        <w:sz w:val="18"/>
        <w:szCs w:val="18"/>
      </w:rPr>
      <w:t>22</w:t>
    </w:r>
  </w:p>
  <w:p w14:paraId="7051C42F" w14:textId="77777777" w:rsidR="00BC7B0E" w:rsidRPr="00510294" w:rsidRDefault="00BC7B0E" w:rsidP="00510294">
    <w:pPr>
      <w:pStyle w:val="Encabezado"/>
      <w:ind w:right="360"/>
      <w:rPr>
        <w:b/>
        <w:sz w:val="18"/>
      </w:rPr>
    </w:pPr>
    <w:r>
      <w:rPr>
        <w:b/>
        <w:sz w:val="18"/>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640D1" w14:textId="77777777" w:rsidR="005C357F" w:rsidRDefault="005C357F">
    <w:pPr>
      <w:pStyle w:val="Encabezado"/>
      <w:jc w:val="center"/>
      <w:rPr>
        <w:rFonts w:cs="Arial"/>
        <w:b/>
        <w:snapToGrid w:val="0"/>
        <w:szCs w:val="24"/>
      </w:rPr>
    </w:pPr>
    <w:r>
      <w:rPr>
        <w:rFonts w:cs="Arial"/>
        <w:b/>
        <w:snapToGrid w:val="0"/>
        <w:szCs w:val="24"/>
      </w:rPr>
      <w:t>SUPERINTENDENCIA FINANCIERA DE COLOMBIA</w:t>
    </w:r>
  </w:p>
  <w:p w14:paraId="79A1798C" w14:textId="77777777" w:rsidR="005C357F" w:rsidRDefault="005C357F">
    <w:pPr>
      <w:pStyle w:val="Encabezado"/>
      <w:rPr>
        <w:snapToGrid w:val="0"/>
        <w:sz w:val="18"/>
        <w:szCs w:val="18"/>
      </w:rPr>
    </w:pPr>
  </w:p>
  <w:p w14:paraId="42C0F814" w14:textId="77777777" w:rsidR="005C357F" w:rsidRDefault="005C357F">
    <w:pPr>
      <w:pStyle w:val="Encabezado"/>
      <w:rPr>
        <w:snapToGrid w:val="0"/>
        <w:sz w:val="18"/>
        <w:szCs w:val="18"/>
      </w:rPr>
    </w:pPr>
  </w:p>
  <w:p w14:paraId="7FF9F9CB" w14:textId="77777777" w:rsidR="005C357F" w:rsidRDefault="005C357F" w:rsidP="00510294">
    <w:pPr>
      <w:pStyle w:val="Encabezado"/>
      <w:rPr>
        <w:snapToGrid w:val="0"/>
        <w:sz w:val="18"/>
        <w:szCs w:val="18"/>
      </w:rPr>
    </w:pPr>
    <w:r>
      <w:rPr>
        <w:b/>
        <w:sz w:val="18"/>
      </w:rPr>
      <w:t>CAPITULO XVIII -</w:t>
    </w:r>
    <w:r w:rsidRPr="001A6807">
      <w:rPr>
        <w:b/>
        <w:sz w:val="22"/>
        <w:szCs w:val="22"/>
      </w:rPr>
      <w:t xml:space="preserve"> </w:t>
    </w:r>
    <w:r w:rsidRPr="001A6807">
      <w:rPr>
        <w:b/>
        <w:sz w:val="18"/>
      </w:rPr>
      <w:t>INSTRUMENTOS FINANCIEROS DERIVADOS Y PRODUCTOS ESTRUCTURADOS</w:t>
    </w:r>
    <w:r>
      <w:rPr>
        <w:snapToGrid w:val="0"/>
        <w:sz w:val="18"/>
        <w:szCs w:val="18"/>
      </w:rPr>
      <w:t xml:space="preserve"> </w:t>
    </w:r>
  </w:p>
  <w:p w14:paraId="33F0DB7B" w14:textId="1ED4E5CD" w:rsidR="005C357F" w:rsidRDefault="005C357F" w:rsidP="00E945AC">
    <w:pPr>
      <w:pStyle w:val="Encabezado"/>
      <w:rPr>
        <w:b/>
        <w:snapToGrid w:val="0"/>
        <w:sz w:val="18"/>
        <w:szCs w:val="18"/>
      </w:rPr>
    </w:pPr>
    <w:r w:rsidRPr="001A6807">
      <w:rPr>
        <w:b/>
        <w:snapToGrid w:val="0"/>
        <w:sz w:val="18"/>
        <w:szCs w:val="18"/>
      </w:rPr>
      <w:t xml:space="preserve">Página </w:t>
    </w:r>
    <w:r>
      <w:rPr>
        <w:b/>
        <w:snapToGrid w:val="0"/>
        <w:sz w:val="18"/>
        <w:szCs w:val="18"/>
      </w:rPr>
      <w:t>22-</w:t>
    </w:r>
    <w:r w:rsidR="00103BA1">
      <w:rPr>
        <w:b/>
        <w:snapToGrid w:val="0"/>
        <w:sz w:val="18"/>
        <w:szCs w:val="18"/>
      </w:rPr>
      <w:t>1</w:t>
    </w:r>
  </w:p>
  <w:p w14:paraId="3A20C58A" w14:textId="77777777" w:rsidR="005C357F" w:rsidRPr="00510294" w:rsidRDefault="005C357F" w:rsidP="00510294">
    <w:pPr>
      <w:pStyle w:val="Encabezado"/>
      <w:ind w:right="360"/>
      <w:rPr>
        <w:b/>
        <w:sz w:val="18"/>
      </w:rPr>
    </w:pPr>
    <w:r>
      <w:rPr>
        <w:b/>
        <w:sz w:val="18"/>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00ECD" w14:textId="77777777" w:rsidR="008B1515" w:rsidRDefault="008B1515">
    <w:pPr>
      <w:pStyle w:val="Encabezado"/>
      <w:jc w:val="center"/>
      <w:rPr>
        <w:rFonts w:cs="Arial"/>
        <w:b/>
        <w:snapToGrid w:val="0"/>
        <w:szCs w:val="24"/>
      </w:rPr>
    </w:pPr>
    <w:r>
      <w:rPr>
        <w:rFonts w:cs="Arial"/>
        <w:b/>
        <w:snapToGrid w:val="0"/>
        <w:szCs w:val="24"/>
      </w:rPr>
      <w:t>SUPERINTENDENCIA FINANCIERA DE COLOMBIA</w:t>
    </w:r>
  </w:p>
  <w:p w14:paraId="62C46F24" w14:textId="77777777" w:rsidR="008B1515" w:rsidRDefault="008B1515">
    <w:pPr>
      <w:pStyle w:val="Encabezado"/>
      <w:rPr>
        <w:snapToGrid w:val="0"/>
        <w:sz w:val="18"/>
        <w:szCs w:val="18"/>
      </w:rPr>
    </w:pPr>
  </w:p>
  <w:p w14:paraId="24E89969" w14:textId="77777777" w:rsidR="008B1515" w:rsidRDefault="008B1515">
    <w:pPr>
      <w:pStyle w:val="Encabezado"/>
      <w:rPr>
        <w:snapToGrid w:val="0"/>
        <w:sz w:val="18"/>
        <w:szCs w:val="18"/>
      </w:rPr>
    </w:pPr>
  </w:p>
  <w:p w14:paraId="0A52291D" w14:textId="77777777" w:rsidR="008B1515" w:rsidRDefault="008B1515" w:rsidP="00510294">
    <w:pPr>
      <w:pStyle w:val="Encabezado"/>
      <w:rPr>
        <w:snapToGrid w:val="0"/>
        <w:sz w:val="18"/>
        <w:szCs w:val="18"/>
      </w:rPr>
    </w:pPr>
    <w:r>
      <w:rPr>
        <w:b/>
        <w:sz w:val="18"/>
      </w:rPr>
      <w:t>CAPITULO XVIII -</w:t>
    </w:r>
    <w:r w:rsidRPr="001A6807">
      <w:rPr>
        <w:b/>
        <w:sz w:val="22"/>
        <w:szCs w:val="22"/>
      </w:rPr>
      <w:t xml:space="preserve"> </w:t>
    </w:r>
    <w:r w:rsidRPr="001A6807">
      <w:rPr>
        <w:b/>
        <w:sz w:val="18"/>
      </w:rPr>
      <w:t>INSTRUMENTOS FINANCIEROS DERIVADOS Y PRODUCTOS ESTRUCTURADOS</w:t>
    </w:r>
    <w:r>
      <w:rPr>
        <w:snapToGrid w:val="0"/>
        <w:sz w:val="18"/>
        <w:szCs w:val="18"/>
      </w:rPr>
      <w:t xml:space="preserve"> </w:t>
    </w:r>
  </w:p>
  <w:p w14:paraId="0CFFFA75" w14:textId="0338CFA4" w:rsidR="008B1515" w:rsidRDefault="008B1515" w:rsidP="00E945AC">
    <w:pPr>
      <w:pStyle w:val="Encabezado"/>
      <w:rPr>
        <w:b/>
        <w:snapToGrid w:val="0"/>
        <w:sz w:val="18"/>
        <w:szCs w:val="18"/>
      </w:rPr>
    </w:pPr>
    <w:r w:rsidRPr="001A6807">
      <w:rPr>
        <w:b/>
        <w:snapToGrid w:val="0"/>
        <w:sz w:val="18"/>
        <w:szCs w:val="18"/>
      </w:rPr>
      <w:t xml:space="preserve">Página </w:t>
    </w:r>
    <w:r>
      <w:rPr>
        <w:b/>
        <w:snapToGrid w:val="0"/>
        <w:sz w:val="18"/>
        <w:szCs w:val="18"/>
      </w:rPr>
      <w:t>2</w:t>
    </w:r>
    <w:r w:rsidR="00305C9F">
      <w:rPr>
        <w:b/>
        <w:snapToGrid w:val="0"/>
        <w:sz w:val="18"/>
        <w:szCs w:val="18"/>
      </w:rPr>
      <w:t>2-2</w:t>
    </w:r>
  </w:p>
  <w:p w14:paraId="53380177" w14:textId="77777777" w:rsidR="008B1515" w:rsidRPr="00510294" w:rsidRDefault="008B1515" w:rsidP="00510294">
    <w:pPr>
      <w:pStyle w:val="Encabezado"/>
      <w:ind w:right="360"/>
      <w:rPr>
        <w:b/>
        <w:sz w:val="18"/>
      </w:rPr>
    </w:pPr>
    <w:r>
      <w:rPr>
        <w:b/>
        <w:sz w:val="18"/>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4D87A" w14:textId="77777777" w:rsidR="00305C9F" w:rsidRDefault="00305C9F">
    <w:pPr>
      <w:pStyle w:val="Encabezado"/>
      <w:jc w:val="center"/>
      <w:rPr>
        <w:rFonts w:cs="Arial"/>
        <w:b/>
        <w:snapToGrid w:val="0"/>
        <w:szCs w:val="24"/>
      </w:rPr>
    </w:pPr>
    <w:r>
      <w:rPr>
        <w:rFonts w:cs="Arial"/>
        <w:b/>
        <w:snapToGrid w:val="0"/>
        <w:szCs w:val="24"/>
      </w:rPr>
      <w:t>SUPERINTENDENCIA FINANCIERA DE COLOMBIA</w:t>
    </w:r>
  </w:p>
  <w:p w14:paraId="4BD18674" w14:textId="77777777" w:rsidR="00305C9F" w:rsidRDefault="00305C9F">
    <w:pPr>
      <w:pStyle w:val="Encabezado"/>
      <w:rPr>
        <w:snapToGrid w:val="0"/>
        <w:sz w:val="18"/>
        <w:szCs w:val="18"/>
      </w:rPr>
    </w:pPr>
  </w:p>
  <w:p w14:paraId="401FEA94" w14:textId="77777777" w:rsidR="00305C9F" w:rsidRDefault="00305C9F">
    <w:pPr>
      <w:pStyle w:val="Encabezado"/>
      <w:rPr>
        <w:snapToGrid w:val="0"/>
        <w:sz w:val="18"/>
        <w:szCs w:val="18"/>
      </w:rPr>
    </w:pPr>
  </w:p>
  <w:p w14:paraId="237712D3" w14:textId="77777777" w:rsidR="00305C9F" w:rsidRDefault="00305C9F" w:rsidP="00510294">
    <w:pPr>
      <w:pStyle w:val="Encabezado"/>
      <w:rPr>
        <w:snapToGrid w:val="0"/>
        <w:sz w:val="18"/>
        <w:szCs w:val="18"/>
      </w:rPr>
    </w:pPr>
    <w:r>
      <w:rPr>
        <w:b/>
        <w:sz w:val="18"/>
      </w:rPr>
      <w:t>CAPITULO XVIII -</w:t>
    </w:r>
    <w:r w:rsidRPr="001A6807">
      <w:rPr>
        <w:b/>
        <w:sz w:val="22"/>
        <w:szCs w:val="22"/>
      </w:rPr>
      <w:t xml:space="preserve"> </w:t>
    </w:r>
    <w:r w:rsidRPr="001A6807">
      <w:rPr>
        <w:b/>
        <w:sz w:val="18"/>
      </w:rPr>
      <w:t>INSTRUMENTOS FINANCIEROS DERIVADOS Y PRODUCTOS ESTRUCTURADOS</w:t>
    </w:r>
    <w:r>
      <w:rPr>
        <w:snapToGrid w:val="0"/>
        <w:sz w:val="18"/>
        <w:szCs w:val="18"/>
      </w:rPr>
      <w:t xml:space="preserve"> </w:t>
    </w:r>
  </w:p>
  <w:p w14:paraId="2A19E113" w14:textId="77777777" w:rsidR="00305C9F" w:rsidRDefault="00305C9F" w:rsidP="00E945AC">
    <w:pPr>
      <w:pStyle w:val="Encabezado"/>
      <w:rPr>
        <w:b/>
        <w:snapToGrid w:val="0"/>
        <w:sz w:val="18"/>
        <w:szCs w:val="18"/>
      </w:rPr>
    </w:pPr>
    <w:r w:rsidRPr="001A6807">
      <w:rPr>
        <w:b/>
        <w:snapToGrid w:val="0"/>
        <w:sz w:val="18"/>
        <w:szCs w:val="18"/>
      </w:rPr>
      <w:t xml:space="preserve">Página </w:t>
    </w:r>
    <w:r>
      <w:rPr>
        <w:b/>
        <w:snapToGrid w:val="0"/>
        <w:sz w:val="18"/>
        <w:szCs w:val="18"/>
      </w:rPr>
      <w:t>23</w:t>
    </w:r>
  </w:p>
  <w:p w14:paraId="3DDC6720" w14:textId="77777777" w:rsidR="00305C9F" w:rsidRPr="00510294" w:rsidRDefault="00305C9F" w:rsidP="00510294">
    <w:pPr>
      <w:pStyle w:val="Encabezado"/>
      <w:ind w:right="360"/>
      <w:rPr>
        <w:b/>
        <w:sz w:val="18"/>
      </w:rPr>
    </w:pPr>
    <w:r>
      <w:rPr>
        <w:b/>
        <w:sz w:val="18"/>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5A93B" w14:textId="77777777" w:rsidR="001B4E4B" w:rsidRDefault="001B4E4B">
    <w:pPr>
      <w:pStyle w:val="Encabezado"/>
      <w:jc w:val="center"/>
      <w:rPr>
        <w:rFonts w:cs="Arial"/>
        <w:b/>
        <w:snapToGrid w:val="0"/>
        <w:szCs w:val="24"/>
      </w:rPr>
    </w:pPr>
    <w:r>
      <w:rPr>
        <w:rFonts w:cs="Arial"/>
        <w:b/>
        <w:snapToGrid w:val="0"/>
        <w:szCs w:val="24"/>
      </w:rPr>
      <w:t>SUPERINTENDENCIA FINANCIERA DE COLOMBIA</w:t>
    </w:r>
  </w:p>
  <w:p w14:paraId="6AA9E63E" w14:textId="77777777" w:rsidR="001B4E4B" w:rsidRDefault="001B4E4B">
    <w:pPr>
      <w:pStyle w:val="Encabezado"/>
      <w:rPr>
        <w:snapToGrid w:val="0"/>
        <w:sz w:val="18"/>
        <w:szCs w:val="18"/>
      </w:rPr>
    </w:pPr>
  </w:p>
  <w:p w14:paraId="12F2C001" w14:textId="77777777" w:rsidR="001B4E4B" w:rsidRDefault="001B4E4B">
    <w:pPr>
      <w:pStyle w:val="Encabezado"/>
      <w:rPr>
        <w:snapToGrid w:val="0"/>
        <w:sz w:val="18"/>
        <w:szCs w:val="18"/>
      </w:rPr>
    </w:pPr>
  </w:p>
  <w:p w14:paraId="05BC93EC" w14:textId="77777777" w:rsidR="001B4E4B" w:rsidRDefault="001B4E4B" w:rsidP="00510294">
    <w:pPr>
      <w:pStyle w:val="Encabezado"/>
      <w:rPr>
        <w:snapToGrid w:val="0"/>
        <w:sz w:val="18"/>
        <w:szCs w:val="18"/>
      </w:rPr>
    </w:pPr>
    <w:r>
      <w:rPr>
        <w:b/>
        <w:sz w:val="18"/>
      </w:rPr>
      <w:t>CAPITULO XVIII -</w:t>
    </w:r>
    <w:r w:rsidRPr="001A6807">
      <w:rPr>
        <w:b/>
        <w:sz w:val="22"/>
        <w:szCs w:val="22"/>
      </w:rPr>
      <w:t xml:space="preserve"> </w:t>
    </w:r>
    <w:r w:rsidRPr="001A6807">
      <w:rPr>
        <w:b/>
        <w:sz w:val="18"/>
      </w:rPr>
      <w:t>INSTRUMENTOS FINANCIEROS DERIVADOS Y PRODUCTOS ESTRUCTURADOS</w:t>
    </w:r>
    <w:r>
      <w:rPr>
        <w:snapToGrid w:val="0"/>
        <w:sz w:val="18"/>
        <w:szCs w:val="18"/>
      </w:rPr>
      <w:t xml:space="preserve"> </w:t>
    </w:r>
  </w:p>
  <w:p w14:paraId="2E8388FF" w14:textId="77777777" w:rsidR="001B4E4B" w:rsidRDefault="001B4E4B" w:rsidP="00E945AC">
    <w:pPr>
      <w:pStyle w:val="Encabezado"/>
      <w:rPr>
        <w:b/>
        <w:snapToGrid w:val="0"/>
        <w:sz w:val="18"/>
        <w:szCs w:val="18"/>
      </w:rPr>
    </w:pPr>
    <w:r w:rsidRPr="001A6807">
      <w:rPr>
        <w:b/>
        <w:snapToGrid w:val="0"/>
        <w:sz w:val="18"/>
        <w:szCs w:val="18"/>
      </w:rPr>
      <w:t xml:space="preserve">Página </w:t>
    </w:r>
    <w:r>
      <w:rPr>
        <w:b/>
        <w:snapToGrid w:val="0"/>
        <w:sz w:val="18"/>
        <w:szCs w:val="18"/>
      </w:rPr>
      <w:t>23-1</w:t>
    </w:r>
  </w:p>
  <w:p w14:paraId="072B6453" w14:textId="77777777" w:rsidR="001B4E4B" w:rsidRPr="00510294" w:rsidRDefault="001B4E4B" w:rsidP="00510294">
    <w:pPr>
      <w:pStyle w:val="Encabezado"/>
      <w:ind w:right="360"/>
      <w:rPr>
        <w:b/>
        <w:sz w:val="18"/>
      </w:rPr>
    </w:pPr>
    <w:r>
      <w:rPr>
        <w:b/>
        <w:sz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5D643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3D5BB0"/>
    <w:multiLevelType w:val="hybridMultilevel"/>
    <w:tmpl w:val="8D9AB2AE"/>
    <w:lvl w:ilvl="0" w:tplc="240A001B">
      <w:start w:val="1"/>
      <w:numFmt w:val="lowerRoman"/>
      <w:lvlText w:val="%1."/>
      <w:lvlJc w:val="right"/>
      <w:pPr>
        <w:ind w:left="732" w:hanging="360"/>
      </w:pPr>
    </w:lvl>
    <w:lvl w:ilvl="1" w:tplc="240A0019" w:tentative="1">
      <w:start w:val="1"/>
      <w:numFmt w:val="lowerLetter"/>
      <w:lvlText w:val="%2."/>
      <w:lvlJc w:val="left"/>
      <w:pPr>
        <w:ind w:left="1452" w:hanging="360"/>
      </w:pPr>
    </w:lvl>
    <w:lvl w:ilvl="2" w:tplc="240A001B" w:tentative="1">
      <w:start w:val="1"/>
      <w:numFmt w:val="lowerRoman"/>
      <w:lvlText w:val="%3."/>
      <w:lvlJc w:val="right"/>
      <w:pPr>
        <w:ind w:left="2172" w:hanging="180"/>
      </w:pPr>
    </w:lvl>
    <w:lvl w:ilvl="3" w:tplc="240A000F" w:tentative="1">
      <w:start w:val="1"/>
      <w:numFmt w:val="decimal"/>
      <w:lvlText w:val="%4."/>
      <w:lvlJc w:val="left"/>
      <w:pPr>
        <w:ind w:left="2892" w:hanging="360"/>
      </w:pPr>
    </w:lvl>
    <w:lvl w:ilvl="4" w:tplc="240A0019" w:tentative="1">
      <w:start w:val="1"/>
      <w:numFmt w:val="lowerLetter"/>
      <w:lvlText w:val="%5."/>
      <w:lvlJc w:val="left"/>
      <w:pPr>
        <w:ind w:left="3612" w:hanging="360"/>
      </w:pPr>
    </w:lvl>
    <w:lvl w:ilvl="5" w:tplc="240A001B" w:tentative="1">
      <w:start w:val="1"/>
      <w:numFmt w:val="lowerRoman"/>
      <w:lvlText w:val="%6."/>
      <w:lvlJc w:val="right"/>
      <w:pPr>
        <w:ind w:left="4332" w:hanging="180"/>
      </w:pPr>
    </w:lvl>
    <w:lvl w:ilvl="6" w:tplc="240A000F" w:tentative="1">
      <w:start w:val="1"/>
      <w:numFmt w:val="decimal"/>
      <w:lvlText w:val="%7."/>
      <w:lvlJc w:val="left"/>
      <w:pPr>
        <w:ind w:left="5052" w:hanging="360"/>
      </w:pPr>
    </w:lvl>
    <w:lvl w:ilvl="7" w:tplc="240A0019" w:tentative="1">
      <w:start w:val="1"/>
      <w:numFmt w:val="lowerLetter"/>
      <w:lvlText w:val="%8."/>
      <w:lvlJc w:val="left"/>
      <w:pPr>
        <w:ind w:left="5772" w:hanging="360"/>
      </w:pPr>
    </w:lvl>
    <w:lvl w:ilvl="8" w:tplc="240A001B" w:tentative="1">
      <w:start w:val="1"/>
      <w:numFmt w:val="lowerRoman"/>
      <w:lvlText w:val="%9."/>
      <w:lvlJc w:val="right"/>
      <w:pPr>
        <w:ind w:left="6492" w:hanging="180"/>
      </w:pPr>
    </w:lvl>
  </w:abstractNum>
  <w:abstractNum w:abstractNumId="2" w15:restartNumberingAfterBreak="0">
    <w:nsid w:val="042E7B4C"/>
    <w:multiLevelType w:val="multilevel"/>
    <w:tmpl w:val="7ECA8B3E"/>
    <w:lvl w:ilvl="0">
      <w:start w:val="4"/>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48B6B71"/>
    <w:multiLevelType w:val="hybridMultilevel"/>
    <w:tmpl w:val="3246312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 w15:restartNumberingAfterBreak="0">
    <w:nsid w:val="05203A63"/>
    <w:multiLevelType w:val="multilevel"/>
    <w:tmpl w:val="5D785ED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5"/>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5373640"/>
    <w:multiLevelType w:val="hybridMultilevel"/>
    <w:tmpl w:val="D076FB0C"/>
    <w:lvl w:ilvl="0" w:tplc="0C0A001B">
      <w:start w:val="1"/>
      <w:numFmt w:val="lowerRoman"/>
      <w:lvlText w:val="%1."/>
      <w:lvlJc w:val="righ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6EA5CA8"/>
    <w:multiLevelType w:val="hybridMultilevel"/>
    <w:tmpl w:val="E59E6A46"/>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 w15:restartNumberingAfterBreak="0">
    <w:nsid w:val="0F8A42DA"/>
    <w:multiLevelType w:val="hybridMultilevel"/>
    <w:tmpl w:val="CFA45774"/>
    <w:lvl w:ilvl="0" w:tplc="240A001B">
      <w:start w:val="1"/>
      <w:numFmt w:val="lowerRoman"/>
      <w:lvlText w:val="%1."/>
      <w:lvlJc w:val="right"/>
      <w:pPr>
        <w:ind w:left="732" w:hanging="360"/>
      </w:pPr>
    </w:lvl>
    <w:lvl w:ilvl="1" w:tplc="240A0019" w:tentative="1">
      <w:start w:val="1"/>
      <w:numFmt w:val="lowerLetter"/>
      <w:lvlText w:val="%2."/>
      <w:lvlJc w:val="left"/>
      <w:pPr>
        <w:ind w:left="1452" w:hanging="360"/>
      </w:pPr>
    </w:lvl>
    <w:lvl w:ilvl="2" w:tplc="240A001B" w:tentative="1">
      <w:start w:val="1"/>
      <w:numFmt w:val="lowerRoman"/>
      <w:lvlText w:val="%3."/>
      <w:lvlJc w:val="right"/>
      <w:pPr>
        <w:ind w:left="2172" w:hanging="180"/>
      </w:pPr>
    </w:lvl>
    <w:lvl w:ilvl="3" w:tplc="240A000F" w:tentative="1">
      <w:start w:val="1"/>
      <w:numFmt w:val="decimal"/>
      <w:lvlText w:val="%4."/>
      <w:lvlJc w:val="left"/>
      <w:pPr>
        <w:ind w:left="2892" w:hanging="360"/>
      </w:pPr>
    </w:lvl>
    <w:lvl w:ilvl="4" w:tplc="240A0019" w:tentative="1">
      <w:start w:val="1"/>
      <w:numFmt w:val="lowerLetter"/>
      <w:lvlText w:val="%5."/>
      <w:lvlJc w:val="left"/>
      <w:pPr>
        <w:ind w:left="3612" w:hanging="360"/>
      </w:pPr>
    </w:lvl>
    <w:lvl w:ilvl="5" w:tplc="240A001B" w:tentative="1">
      <w:start w:val="1"/>
      <w:numFmt w:val="lowerRoman"/>
      <w:lvlText w:val="%6."/>
      <w:lvlJc w:val="right"/>
      <w:pPr>
        <w:ind w:left="4332" w:hanging="180"/>
      </w:pPr>
    </w:lvl>
    <w:lvl w:ilvl="6" w:tplc="240A000F" w:tentative="1">
      <w:start w:val="1"/>
      <w:numFmt w:val="decimal"/>
      <w:lvlText w:val="%7."/>
      <w:lvlJc w:val="left"/>
      <w:pPr>
        <w:ind w:left="5052" w:hanging="360"/>
      </w:pPr>
    </w:lvl>
    <w:lvl w:ilvl="7" w:tplc="240A0019" w:tentative="1">
      <w:start w:val="1"/>
      <w:numFmt w:val="lowerLetter"/>
      <w:lvlText w:val="%8."/>
      <w:lvlJc w:val="left"/>
      <w:pPr>
        <w:ind w:left="5772" w:hanging="360"/>
      </w:pPr>
    </w:lvl>
    <w:lvl w:ilvl="8" w:tplc="240A001B" w:tentative="1">
      <w:start w:val="1"/>
      <w:numFmt w:val="lowerRoman"/>
      <w:lvlText w:val="%9."/>
      <w:lvlJc w:val="right"/>
      <w:pPr>
        <w:ind w:left="6492" w:hanging="180"/>
      </w:pPr>
    </w:lvl>
  </w:abstractNum>
  <w:abstractNum w:abstractNumId="8" w15:restartNumberingAfterBreak="0">
    <w:nsid w:val="131C49EA"/>
    <w:multiLevelType w:val="hybridMultilevel"/>
    <w:tmpl w:val="BF8A858C"/>
    <w:lvl w:ilvl="0" w:tplc="0C0A0017">
      <w:start w:val="1"/>
      <w:numFmt w:val="lowerLetter"/>
      <w:lvlText w:val="%1)"/>
      <w:lvlJc w:val="left"/>
      <w:pPr>
        <w:tabs>
          <w:tab w:val="num" w:pos="720"/>
        </w:tabs>
        <w:ind w:left="720" w:hanging="360"/>
      </w:pPr>
      <w:rPr>
        <w:rFonts w:cs="Times New Roman" w:hint="default"/>
      </w:rPr>
    </w:lvl>
    <w:lvl w:ilvl="1" w:tplc="0C0A001B">
      <w:start w:val="1"/>
      <w:numFmt w:val="lowerRoman"/>
      <w:lvlText w:val="%2."/>
      <w:lvlJc w:val="right"/>
      <w:pPr>
        <w:tabs>
          <w:tab w:val="num" w:pos="786"/>
        </w:tabs>
        <w:ind w:left="786"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34867AC"/>
    <w:multiLevelType w:val="multilevel"/>
    <w:tmpl w:val="A1828842"/>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 w15:restartNumberingAfterBreak="0">
    <w:nsid w:val="17AD7394"/>
    <w:multiLevelType w:val="hybridMultilevel"/>
    <w:tmpl w:val="A30C8898"/>
    <w:lvl w:ilvl="0" w:tplc="240A001B">
      <w:start w:val="1"/>
      <w:numFmt w:val="low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DF615D9"/>
    <w:multiLevelType w:val="hybridMultilevel"/>
    <w:tmpl w:val="5AAC0DC6"/>
    <w:lvl w:ilvl="0" w:tplc="240A000F">
      <w:start w:val="1"/>
      <w:numFmt w:val="decimal"/>
      <w:lvlText w:val="%1."/>
      <w:lvlJc w:val="left"/>
      <w:pPr>
        <w:ind w:left="715" w:hanging="360"/>
      </w:pPr>
      <w:rPr>
        <w:rFonts w:hint="default"/>
      </w:rPr>
    </w:lvl>
    <w:lvl w:ilvl="1" w:tplc="240A0019" w:tentative="1">
      <w:start w:val="1"/>
      <w:numFmt w:val="lowerLetter"/>
      <w:lvlText w:val="%2."/>
      <w:lvlJc w:val="left"/>
      <w:pPr>
        <w:ind w:left="1435" w:hanging="360"/>
      </w:pPr>
    </w:lvl>
    <w:lvl w:ilvl="2" w:tplc="240A001B" w:tentative="1">
      <w:start w:val="1"/>
      <w:numFmt w:val="lowerRoman"/>
      <w:lvlText w:val="%3."/>
      <w:lvlJc w:val="right"/>
      <w:pPr>
        <w:ind w:left="2155" w:hanging="180"/>
      </w:pPr>
    </w:lvl>
    <w:lvl w:ilvl="3" w:tplc="240A000F" w:tentative="1">
      <w:start w:val="1"/>
      <w:numFmt w:val="decimal"/>
      <w:lvlText w:val="%4."/>
      <w:lvlJc w:val="left"/>
      <w:pPr>
        <w:ind w:left="2875" w:hanging="360"/>
      </w:pPr>
    </w:lvl>
    <w:lvl w:ilvl="4" w:tplc="240A0019" w:tentative="1">
      <w:start w:val="1"/>
      <w:numFmt w:val="lowerLetter"/>
      <w:lvlText w:val="%5."/>
      <w:lvlJc w:val="left"/>
      <w:pPr>
        <w:ind w:left="3595" w:hanging="360"/>
      </w:pPr>
    </w:lvl>
    <w:lvl w:ilvl="5" w:tplc="240A001B" w:tentative="1">
      <w:start w:val="1"/>
      <w:numFmt w:val="lowerRoman"/>
      <w:lvlText w:val="%6."/>
      <w:lvlJc w:val="right"/>
      <w:pPr>
        <w:ind w:left="4315" w:hanging="180"/>
      </w:pPr>
    </w:lvl>
    <w:lvl w:ilvl="6" w:tplc="240A000F" w:tentative="1">
      <w:start w:val="1"/>
      <w:numFmt w:val="decimal"/>
      <w:lvlText w:val="%7."/>
      <w:lvlJc w:val="left"/>
      <w:pPr>
        <w:ind w:left="5035" w:hanging="360"/>
      </w:pPr>
    </w:lvl>
    <w:lvl w:ilvl="7" w:tplc="240A0019" w:tentative="1">
      <w:start w:val="1"/>
      <w:numFmt w:val="lowerLetter"/>
      <w:lvlText w:val="%8."/>
      <w:lvlJc w:val="left"/>
      <w:pPr>
        <w:ind w:left="5755" w:hanging="360"/>
      </w:pPr>
    </w:lvl>
    <w:lvl w:ilvl="8" w:tplc="240A001B" w:tentative="1">
      <w:start w:val="1"/>
      <w:numFmt w:val="lowerRoman"/>
      <w:lvlText w:val="%9."/>
      <w:lvlJc w:val="right"/>
      <w:pPr>
        <w:ind w:left="6475" w:hanging="180"/>
      </w:pPr>
    </w:lvl>
  </w:abstractNum>
  <w:abstractNum w:abstractNumId="12" w15:restartNumberingAfterBreak="0">
    <w:nsid w:val="1E1F4F31"/>
    <w:multiLevelType w:val="hybridMultilevel"/>
    <w:tmpl w:val="3D4886C6"/>
    <w:lvl w:ilvl="0" w:tplc="DA628EB0">
      <w:start w:val="1"/>
      <w:numFmt w:val="lowerLetter"/>
      <w:pStyle w:val="Normal9pt"/>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3" w15:restartNumberingAfterBreak="0">
    <w:nsid w:val="1E695639"/>
    <w:multiLevelType w:val="multilevel"/>
    <w:tmpl w:val="33385D82"/>
    <w:lvl w:ilvl="0">
      <w:start w:val="1"/>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EE56153"/>
    <w:multiLevelType w:val="hybridMultilevel"/>
    <w:tmpl w:val="E9E20862"/>
    <w:lvl w:ilvl="0" w:tplc="497A22E2">
      <w:start w:val="1"/>
      <w:numFmt w:val="lowerRoman"/>
      <w:lvlText w:val="%1)"/>
      <w:lvlJc w:val="left"/>
      <w:pPr>
        <w:ind w:left="720" w:hanging="360"/>
      </w:pPr>
      <w:rPr>
        <w:rFonts w:ascii="Arial" w:eastAsia="Times New Roman" w:hAnsi="Arial" w:cs="Arial"/>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16B454F"/>
    <w:multiLevelType w:val="multilevel"/>
    <w:tmpl w:val="69705AE4"/>
    <w:lvl w:ilvl="0">
      <w:start w:val="1"/>
      <w:numFmt w:val="decimal"/>
      <w:lvlText w:val="%1."/>
      <w:lvlJc w:val="left"/>
      <w:pPr>
        <w:ind w:left="675" w:hanging="675"/>
      </w:pPr>
      <w:rPr>
        <w:rFonts w:hint="default"/>
      </w:rPr>
    </w:lvl>
    <w:lvl w:ilvl="1">
      <w:start w:val="2"/>
      <w:numFmt w:val="decimal"/>
      <w:lvlText w:val="%1.%2."/>
      <w:lvlJc w:val="left"/>
      <w:pPr>
        <w:ind w:left="675" w:hanging="67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36C0FF0"/>
    <w:multiLevelType w:val="multilevel"/>
    <w:tmpl w:val="24343790"/>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60676C0"/>
    <w:multiLevelType w:val="multilevel"/>
    <w:tmpl w:val="E272C1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8C83982"/>
    <w:multiLevelType w:val="hybridMultilevel"/>
    <w:tmpl w:val="6A607784"/>
    <w:lvl w:ilvl="0" w:tplc="83E8F262">
      <w:start w:val="1"/>
      <w:numFmt w:val="decimal"/>
      <w:lvlText w:val="%1."/>
      <w:lvlJc w:val="left"/>
      <w:pPr>
        <w:tabs>
          <w:tab w:val="num" w:pos="361"/>
        </w:tabs>
        <w:ind w:left="361" w:hanging="360"/>
      </w:pPr>
      <w:rPr>
        <w:rFonts w:ascii="Arial" w:eastAsia="Times New Roman" w:hAnsi="Arial" w:cs="Arial"/>
      </w:rPr>
    </w:lvl>
    <w:lvl w:ilvl="1" w:tplc="E34EBC98">
      <w:start w:val="1"/>
      <w:numFmt w:val="decimal"/>
      <w:isLgl/>
      <w:lvlText w:val="%2.%2."/>
      <w:lvlJc w:val="left"/>
      <w:pPr>
        <w:tabs>
          <w:tab w:val="num" w:pos="721"/>
        </w:tabs>
        <w:ind w:left="721" w:hanging="720"/>
      </w:pPr>
      <w:rPr>
        <w:rFonts w:cs="Times New Roman" w:hint="default"/>
      </w:rPr>
    </w:lvl>
    <w:lvl w:ilvl="2" w:tplc="89366D1A">
      <w:numFmt w:val="none"/>
      <w:lvlText w:val=""/>
      <w:lvlJc w:val="left"/>
      <w:pPr>
        <w:tabs>
          <w:tab w:val="num" w:pos="361"/>
        </w:tabs>
      </w:pPr>
      <w:rPr>
        <w:rFonts w:cs="Times New Roman"/>
      </w:rPr>
    </w:lvl>
    <w:lvl w:ilvl="3" w:tplc="F8D0D2D4">
      <w:numFmt w:val="none"/>
      <w:lvlText w:val=""/>
      <w:lvlJc w:val="left"/>
      <w:pPr>
        <w:tabs>
          <w:tab w:val="num" w:pos="361"/>
        </w:tabs>
      </w:pPr>
      <w:rPr>
        <w:rFonts w:cs="Times New Roman"/>
      </w:rPr>
    </w:lvl>
    <w:lvl w:ilvl="4" w:tplc="9A44953E">
      <w:numFmt w:val="none"/>
      <w:lvlText w:val=""/>
      <w:lvlJc w:val="left"/>
      <w:pPr>
        <w:tabs>
          <w:tab w:val="num" w:pos="361"/>
        </w:tabs>
      </w:pPr>
      <w:rPr>
        <w:rFonts w:cs="Times New Roman"/>
      </w:rPr>
    </w:lvl>
    <w:lvl w:ilvl="5" w:tplc="D1FADB26">
      <w:numFmt w:val="none"/>
      <w:lvlText w:val=""/>
      <w:lvlJc w:val="left"/>
      <w:pPr>
        <w:tabs>
          <w:tab w:val="num" w:pos="361"/>
        </w:tabs>
      </w:pPr>
      <w:rPr>
        <w:rFonts w:cs="Times New Roman"/>
      </w:rPr>
    </w:lvl>
    <w:lvl w:ilvl="6" w:tplc="FA1E0984">
      <w:numFmt w:val="none"/>
      <w:lvlText w:val=""/>
      <w:lvlJc w:val="left"/>
      <w:pPr>
        <w:tabs>
          <w:tab w:val="num" w:pos="361"/>
        </w:tabs>
      </w:pPr>
      <w:rPr>
        <w:rFonts w:cs="Times New Roman"/>
      </w:rPr>
    </w:lvl>
    <w:lvl w:ilvl="7" w:tplc="49A24DB2">
      <w:numFmt w:val="none"/>
      <w:lvlText w:val=""/>
      <w:lvlJc w:val="left"/>
      <w:pPr>
        <w:tabs>
          <w:tab w:val="num" w:pos="361"/>
        </w:tabs>
      </w:pPr>
      <w:rPr>
        <w:rFonts w:cs="Times New Roman"/>
      </w:rPr>
    </w:lvl>
    <w:lvl w:ilvl="8" w:tplc="31C22AF8">
      <w:numFmt w:val="none"/>
      <w:lvlText w:val=""/>
      <w:lvlJc w:val="left"/>
      <w:pPr>
        <w:tabs>
          <w:tab w:val="num" w:pos="361"/>
        </w:tabs>
      </w:pPr>
      <w:rPr>
        <w:rFonts w:cs="Times New Roman"/>
      </w:rPr>
    </w:lvl>
  </w:abstractNum>
  <w:abstractNum w:abstractNumId="19" w15:restartNumberingAfterBreak="0">
    <w:nsid w:val="2C9A453E"/>
    <w:multiLevelType w:val="hybridMultilevel"/>
    <w:tmpl w:val="FAB46628"/>
    <w:lvl w:ilvl="0" w:tplc="4B58EB60">
      <w:start w:val="1"/>
      <w:numFmt w:val="lowerRoman"/>
      <w:lvlText w:val="(%1)"/>
      <w:lvlJc w:val="left"/>
      <w:pPr>
        <w:tabs>
          <w:tab w:val="num" w:pos="1077"/>
        </w:tabs>
        <w:ind w:left="1077" w:hanging="720"/>
      </w:pPr>
      <w:rPr>
        <w:rFonts w:hint="default"/>
      </w:rPr>
    </w:lvl>
    <w:lvl w:ilvl="1" w:tplc="497A22E2">
      <w:start w:val="1"/>
      <w:numFmt w:val="lowerRoman"/>
      <w:lvlText w:val="%2)"/>
      <w:lvlJc w:val="left"/>
      <w:pPr>
        <w:tabs>
          <w:tab w:val="num" w:pos="1797"/>
        </w:tabs>
        <w:ind w:left="1797" w:hanging="720"/>
      </w:pPr>
      <w:rPr>
        <w:rFonts w:ascii="Arial" w:eastAsia="Times New Roman" w:hAnsi="Arial" w:cs="Arial"/>
        <w:b/>
      </w:rPr>
    </w:lvl>
    <w:lvl w:ilvl="2" w:tplc="9CC0EBD6">
      <w:start w:val="1"/>
      <w:numFmt w:val="lowerLetter"/>
      <w:lvlText w:val="%3)"/>
      <w:lvlJc w:val="left"/>
      <w:pPr>
        <w:tabs>
          <w:tab w:val="num" w:pos="2337"/>
        </w:tabs>
        <w:ind w:left="2337" w:hanging="360"/>
      </w:pPr>
      <w:rPr>
        <w:rFonts w:hint="default"/>
      </w:rPr>
    </w:lvl>
    <w:lvl w:ilvl="3" w:tplc="0C0A000F" w:tentative="1">
      <w:start w:val="1"/>
      <w:numFmt w:val="decimal"/>
      <w:lvlText w:val="%4."/>
      <w:lvlJc w:val="left"/>
      <w:pPr>
        <w:tabs>
          <w:tab w:val="num" w:pos="2877"/>
        </w:tabs>
        <w:ind w:left="2877" w:hanging="360"/>
      </w:pPr>
    </w:lvl>
    <w:lvl w:ilvl="4" w:tplc="0C0A0019" w:tentative="1">
      <w:start w:val="1"/>
      <w:numFmt w:val="lowerLetter"/>
      <w:lvlText w:val="%5."/>
      <w:lvlJc w:val="left"/>
      <w:pPr>
        <w:tabs>
          <w:tab w:val="num" w:pos="3597"/>
        </w:tabs>
        <w:ind w:left="3597" w:hanging="360"/>
      </w:pPr>
    </w:lvl>
    <w:lvl w:ilvl="5" w:tplc="0C0A001B" w:tentative="1">
      <w:start w:val="1"/>
      <w:numFmt w:val="lowerRoman"/>
      <w:lvlText w:val="%6."/>
      <w:lvlJc w:val="right"/>
      <w:pPr>
        <w:tabs>
          <w:tab w:val="num" w:pos="4317"/>
        </w:tabs>
        <w:ind w:left="4317" w:hanging="180"/>
      </w:pPr>
    </w:lvl>
    <w:lvl w:ilvl="6" w:tplc="0C0A000F" w:tentative="1">
      <w:start w:val="1"/>
      <w:numFmt w:val="decimal"/>
      <w:lvlText w:val="%7."/>
      <w:lvlJc w:val="left"/>
      <w:pPr>
        <w:tabs>
          <w:tab w:val="num" w:pos="5037"/>
        </w:tabs>
        <w:ind w:left="5037" w:hanging="360"/>
      </w:pPr>
    </w:lvl>
    <w:lvl w:ilvl="7" w:tplc="0C0A0019" w:tentative="1">
      <w:start w:val="1"/>
      <w:numFmt w:val="lowerLetter"/>
      <w:lvlText w:val="%8."/>
      <w:lvlJc w:val="left"/>
      <w:pPr>
        <w:tabs>
          <w:tab w:val="num" w:pos="5757"/>
        </w:tabs>
        <w:ind w:left="5757" w:hanging="360"/>
      </w:pPr>
    </w:lvl>
    <w:lvl w:ilvl="8" w:tplc="0C0A001B" w:tentative="1">
      <w:start w:val="1"/>
      <w:numFmt w:val="lowerRoman"/>
      <w:lvlText w:val="%9."/>
      <w:lvlJc w:val="right"/>
      <w:pPr>
        <w:tabs>
          <w:tab w:val="num" w:pos="6477"/>
        </w:tabs>
        <w:ind w:left="6477" w:hanging="180"/>
      </w:pPr>
    </w:lvl>
  </w:abstractNum>
  <w:abstractNum w:abstractNumId="20" w15:restartNumberingAfterBreak="0">
    <w:nsid w:val="2DAA0420"/>
    <w:multiLevelType w:val="hybridMultilevel"/>
    <w:tmpl w:val="C8A263B0"/>
    <w:lvl w:ilvl="0" w:tplc="0409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2DC35028"/>
    <w:multiLevelType w:val="hybridMultilevel"/>
    <w:tmpl w:val="9B4AD836"/>
    <w:lvl w:ilvl="0" w:tplc="957C6118">
      <w:start w:val="1"/>
      <w:numFmt w:val="decimal"/>
      <w:lvlText w:val="%1."/>
      <w:lvlJc w:val="left"/>
      <w:pPr>
        <w:tabs>
          <w:tab w:val="num" w:pos="926"/>
        </w:tabs>
        <w:ind w:left="926" w:hanging="360"/>
      </w:pPr>
      <w:rPr>
        <w:rFonts w:cs="Times New Roman" w:hint="default"/>
      </w:rPr>
    </w:lvl>
    <w:lvl w:ilvl="1" w:tplc="0C0A0001">
      <w:start w:val="1"/>
      <w:numFmt w:val="bullet"/>
      <w:lvlText w:val=""/>
      <w:lvlJc w:val="left"/>
      <w:pPr>
        <w:tabs>
          <w:tab w:val="num" w:pos="1646"/>
        </w:tabs>
        <w:ind w:left="1646" w:hanging="360"/>
      </w:pPr>
      <w:rPr>
        <w:rFonts w:ascii="Symbol" w:hAnsi="Symbol" w:hint="default"/>
      </w:rPr>
    </w:lvl>
    <w:lvl w:ilvl="2" w:tplc="0C0A001B">
      <w:start w:val="1"/>
      <w:numFmt w:val="lowerRoman"/>
      <w:lvlText w:val="%3."/>
      <w:lvlJc w:val="right"/>
      <w:pPr>
        <w:tabs>
          <w:tab w:val="num" w:pos="2366"/>
        </w:tabs>
        <w:ind w:left="2366" w:hanging="180"/>
      </w:pPr>
      <w:rPr>
        <w:rFonts w:cs="Times New Roman"/>
      </w:rPr>
    </w:lvl>
    <w:lvl w:ilvl="3" w:tplc="693A4B3A">
      <w:start w:val="1"/>
      <w:numFmt w:val="lowerLetter"/>
      <w:lvlText w:val="%4)"/>
      <w:lvlJc w:val="left"/>
      <w:pPr>
        <w:tabs>
          <w:tab w:val="num" w:pos="360"/>
        </w:tabs>
        <w:ind w:left="360" w:hanging="360"/>
      </w:pPr>
      <w:rPr>
        <w:rFonts w:cs="Times New Roman" w:hint="default"/>
      </w:rPr>
    </w:lvl>
    <w:lvl w:ilvl="4" w:tplc="52E463A2">
      <w:start w:val="3"/>
      <w:numFmt w:val="bullet"/>
      <w:lvlText w:val="-"/>
      <w:lvlJc w:val="left"/>
      <w:pPr>
        <w:tabs>
          <w:tab w:val="num" w:pos="3806"/>
        </w:tabs>
        <w:ind w:left="3806" w:hanging="360"/>
      </w:pPr>
      <w:rPr>
        <w:rFonts w:ascii="Arial" w:eastAsia="Times New Roman" w:hAnsi="Arial" w:hint="default"/>
      </w:rPr>
    </w:lvl>
    <w:lvl w:ilvl="5" w:tplc="0C0A001B" w:tentative="1">
      <w:start w:val="1"/>
      <w:numFmt w:val="lowerRoman"/>
      <w:lvlText w:val="%6."/>
      <w:lvlJc w:val="right"/>
      <w:pPr>
        <w:tabs>
          <w:tab w:val="num" w:pos="4526"/>
        </w:tabs>
        <w:ind w:left="4526" w:hanging="180"/>
      </w:pPr>
      <w:rPr>
        <w:rFonts w:cs="Times New Roman"/>
      </w:rPr>
    </w:lvl>
    <w:lvl w:ilvl="6" w:tplc="0C0A000F" w:tentative="1">
      <w:start w:val="1"/>
      <w:numFmt w:val="decimal"/>
      <w:lvlText w:val="%7."/>
      <w:lvlJc w:val="left"/>
      <w:pPr>
        <w:tabs>
          <w:tab w:val="num" w:pos="5246"/>
        </w:tabs>
        <w:ind w:left="5246" w:hanging="360"/>
      </w:pPr>
      <w:rPr>
        <w:rFonts w:cs="Times New Roman"/>
      </w:rPr>
    </w:lvl>
    <w:lvl w:ilvl="7" w:tplc="0C0A0019" w:tentative="1">
      <w:start w:val="1"/>
      <w:numFmt w:val="lowerLetter"/>
      <w:lvlText w:val="%8."/>
      <w:lvlJc w:val="left"/>
      <w:pPr>
        <w:tabs>
          <w:tab w:val="num" w:pos="5966"/>
        </w:tabs>
        <w:ind w:left="5966" w:hanging="360"/>
      </w:pPr>
      <w:rPr>
        <w:rFonts w:cs="Times New Roman"/>
      </w:rPr>
    </w:lvl>
    <w:lvl w:ilvl="8" w:tplc="0C0A001B" w:tentative="1">
      <w:start w:val="1"/>
      <w:numFmt w:val="lowerRoman"/>
      <w:lvlText w:val="%9."/>
      <w:lvlJc w:val="right"/>
      <w:pPr>
        <w:tabs>
          <w:tab w:val="num" w:pos="6686"/>
        </w:tabs>
        <w:ind w:left="6686" w:hanging="180"/>
      </w:pPr>
      <w:rPr>
        <w:rFonts w:cs="Times New Roman"/>
      </w:rPr>
    </w:lvl>
  </w:abstractNum>
  <w:abstractNum w:abstractNumId="22" w15:restartNumberingAfterBreak="0">
    <w:nsid w:val="2F451E88"/>
    <w:multiLevelType w:val="hybridMultilevel"/>
    <w:tmpl w:val="E95ADE8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9DF4E89"/>
    <w:multiLevelType w:val="hybridMultilevel"/>
    <w:tmpl w:val="24FE939A"/>
    <w:lvl w:ilvl="0" w:tplc="0409001B">
      <w:start w:val="1"/>
      <w:numFmt w:val="lowerRoman"/>
      <w:lvlText w:val="%1."/>
      <w:lvlJc w:val="right"/>
      <w:pPr>
        <w:ind w:left="1290" w:hanging="360"/>
      </w:pPr>
    </w:lvl>
    <w:lvl w:ilvl="1" w:tplc="240A0019">
      <w:start w:val="1"/>
      <w:numFmt w:val="lowerLetter"/>
      <w:lvlText w:val="%2."/>
      <w:lvlJc w:val="left"/>
      <w:pPr>
        <w:ind w:left="2010" w:hanging="360"/>
      </w:pPr>
    </w:lvl>
    <w:lvl w:ilvl="2" w:tplc="240A001B" w:tentative="1">
      <w:start w:val="1"/>
      <w:numFmt w:val="lowerRoman"/>
      <w:lvlText w:val="%3."/>
      <w:lvlJc w:val="right"/>
      <w:pPr>
        <w:ind w:left="2730" w:hanging="180"/>
      </w:pPr>
    </w:lvl>
    <w:lvl w:ilvl="3" w:tplc="240A000F" w:tentative="1">
      <w:start w:val="1"/>
      <w:numFmt w:val="decimal"/>
      <w:lvlText w:val="%4."/>
      <w:lvlJc w:val="left"/>
      <w:pPr>
        <w:ind w:left="3450" w:hanging="360"/>
      </w:pPr>
    </w:lvl>
    <w:lvl w:ilvl="4" w:tplc="240A0019" w:tentative="1">
      <w:start w:val="1"/>
      <w:numFmt w:val="lowerLetter"/>
      <w:lvlText w:val="%5."/>
      <w:lvlJc w:val="left"/>
      <w:pPr>
        <w:ind w:left="4170" w:hanging="360"/>
      </w:pPr>
    </w:lvl>
    <w:lvl w:ilvl="5" w:tplc="240A001B" w:tentative="1">
      <w:start w:val="1"/>
      <w:numFmt w:val="lowerRoman"/>
      <w:lvlText w:val="%6."/>
      <w:lvlJc w:val="right"/>
      <w:pPr>
        <w:ind w:left="4890" w:hanging="180"/>
      </w:pPr>
    </w:lvl>
    <w:lvl w:ilvl="6" w:tplc="240A000F" w:tentative="1">
      <w:start w:val="1"/>
      <w:numFmt w:val="decimal"/>
      <w:lvlText w:val="%7."/>
      <w:lvlJc w:val="left"/>
      <w:pPr>
        <w:ind w:left="5610" w:hanging="360"/>
      </w:pPr>
    </w:lvl>
    <w:lvl w:ilvl="7" w:tplc="240A0019" w:tentative="1">
      <w:start w:val="1"/>
      <w:numFmt w:val="lowerLetter"/>
      <w:lvlText w:val="%8."/>
      <w:lvlJc w:val="left"/>
      <w:pPr>
        <w:ind w:left="6330" w:hanging="360"/>
      </w:pPr>
    </w:lvl>
    <w:lvl w:ilvl="8" w:tplc="240A001B" w:tentative="1">
      <w:start w:val="1"/>
      <w:numFmt w:val="lowerRoman"/>
      <w:lvlText w:val="%9."/>
      <w:lvlJc w:val="right"/>
      <w:pPr>
        <w:ind w:left="7050" w:hanging="180"/>
      </w:pPr>
    </w:lvl>
  </w:abstractNum>
  <w:abstractNum w:abstractNumId="24" w15:restartNumberingAfterBreak="0">
    <w:nsid w:val="3AFA50AB"/>
    <w:multiLevelType w:val="multilevel"/>
    <w:tmpl w:val="D7128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E4F288B"/>
    <w:multiLevelType w:val="hybridMultilevel"/>
    <w:tmpl w:val="AD0ACD82"/>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E981589"/>
    <w:multiLevelType w:val="hybridMultilevel"/>
    <w:tmpl w:val="66B8FC7A"/>
    <w:lvl w:ilvl="0" w:tplc="897A8BEC">
      <w:start w:val="1"/>
      <w:numFmt w:val="lowerLetter"/>
      <w:lvlText w:val="%1)"/>
      <w:lvlJc w:val="left"/>
      <w:pPr>
        <w:ind w:left="1063" w:hanging="705"/>
      </w:pPr>
      <w:rPr>
        <w:rFonts w:hint="default"/>
      </w:rPr>
    </w:lvl>
    <w:lvl w:ilvl="1" w:tplc="240A0019">
      <w:start w:val="1"/>
      <w:numFmt w:val="lowerLetter"/>
      <w:lvlText w:val="%2."/>
      <w:lvlJc w:val="left"/>
      <w:pPr>
        <w:ind w:left="1438" w:hanging="360"/>
      </w:pPr>
    </w:lvl>
    <w:lvl w:ilvl="2" w:tplc="240A001B" w:tentative="1">
      <w:start w:val="1"/>
      <w:numFmt w:val="lowerRoman"/>
      <w:lvlText w:val="%3."/>
      <w:lvlJc w:val="right"/>
      <w:pPr>
        <w:ind w:left="2158" w:hanging="180"/>
      </w:pPr>
    </w:lvl>
    <w:lvl w:ilvl="3" w:tplc="240A000F" w:tentative="1">
      <w:start w:val="1"/>
      <w:numFmt w:val="decimal"/>
      <w:lvlText w:val="%4."/>
      <w:lvlJc w:val="left"/>
      <w:pPr>
        <w:ind w:left="2878" w:hanging="360"/>
      </w:pPr>
    </w:lvl>
    <w:lvl w:ilvl="4" w:tplc="240A0019" w:tentative="1">
      <w:start w:val="1"/>
      <w:numFmt w:val="lowerLetter"/>
      <w:lvlText w:val="%5."/>
      <w:lvlJc w:val="left"/>
      <w:pPr>
        <w:ind w:left="3598" w:hanging="360"/>
      </w:pPr>
    </w:lvl>
    <w:lvl w:ilvl="5" w:tplc="240A001B" w:tentative="1">
      <w:start w:val="1"/>
      <w:numFmt w:val="lowerRoman"/>
      <w:lvlText w:val="%6."/>
      <w:lvlJc w:val="right"/>
      <w:pPr>
        <w:ind w:left="4318" w:hanging="180"/>
      </w:pPr>
    </w:lvl>
    <w:lvl w:ilvl="6" w:tplc="240A000F" w:tentative="1">
      <w:start w:val="1"/>
      <w:numFmt w:val="decimal"/>
      <w:lvlText w:val="%7."/>
      <w:lvlJc w:val="left"/>
      <w:pPr>
        <w:ind w:left="5038" w:hanging="360"/>
      </w:pPr>
    </w:lvl>
    <w:lvl w:ilvl="7" w:tplc="240A0019" w:tentative="1">
      <w:start w:val="1"/>
      <w:numFmt w:val="lowerLetter"/>
      <w:lvlText w:val="%8."/>
      <w:lvlJc w:val="left"/>
      <w:pPr>
        <w:ind w:left="5758" w:hanging="360"/>
      </w:pPr>
    </w:lvl>
    <w:lvl w:ilvl="8" w:tplc="240A001B" w:tentative="1">
      <w:start w:val="1"/>
      <w:numFmt w:val="lowerRoman"/>
      <w:lvlText w:val="%9."/>
      <w:lvlJc w:val="right"/>
      <w:pPr>
        <w:ind w:left="6478" w:hanging="180"/>
      </w:pPr>
    </w:lvl>
  </w:abstractNum>
  <w:abstractNum w:abstractNumId="27" w15:restartNumberingAfterBreak="0">
    <w:nsid w:val="411C0D5D"/>
    <w:multiLevelType w:val="hybridMultilevel"/>
    <w:tmpl w:val="8D4E6D72"/>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AF552A6"/>
    <w:multiLevelType w:val="hybridMultilevel"/>
    <w:tmpl w:val="C938DF9A"/>
    <w:lvl w:ilvl="0" w:tplc="0409001B">
      <w:start w:val="1"/>
      <w:numFmt w:val="lowerRoman"/>
      <w:lvlText w:val="%1."/>
      <w:lvlJc w:val="right"/>
      <w:pPr>
        <w:ind w:left="724" w:hanging="360"/>
      </w:pPr>
    </w:lvl>
    <w:lvl w:ilvl="1" w:tplc="240A0019" w:tentative="1">
      <w:start w:val="1"/>
      <w:numFmt w:val="lowerLetter"/>
      <w:lvlText w:val="%2."/>
      <w:lvlJc w:val="left"/>
      <w:pPr>
        <w:ind w:left="1444" w:hanging="360"/>
      </w:pPr>
    </w:lvl>
    <w:lvl w:ilvl="2" w:tplc="240A001B" w:tentative="1">
      <w:start w:val="1"/>
      <w:numFmt w:val="lowerRoman"/>
      <w:lvlText w:val="%3."/>
      <w:lvlJc w:val="right"/>
      <w:pPr>
        <w:ind w:left="2164" w:hanging="180"/>
      </w:pPr>
    </w:lvl>
    <w:lvl w:ilvl="3" w:tplc="240A000F" w:tentative="1">
      <w:start w:val="1"/>
      <w:numFmt w:val="decimal"/>
      <w:lvlText w:val="%4."/>
      <w:lvlJc w:val="left"/>
      <w:pPr>
        <w:ind w:left="2884" w:hanging="360"/>
      </w:pPr>
    </w:lvl>
    <w:lvl w:ilvl="4" w:tplc="240A0019" w:tentative="1">
      <w:start w:val="1"/>
      <w:numFmt w:val="lowerLetter"/>
      <w:lvlText w:val="%5."/>
      <w:lvlJc w:val="left"/>
      <w:pPr>
        <w:ind w:left="3604" w:hanging="360"/>
      </w:pPr>
    </w:lvl>
    <w:lvl w:ilvl="5" w:tplc="240A001B" w:tentative="1">
      <w:start w:val="1"/>
      <w:numFmt w:val="lowerRoman"/>
      <w:lvlText w:val="%6."/>
      <w:lvlJc w:val="right"/>
      <w:pPr>
        <w:ind w:left="4324" w:hanging="180"/>
      </w:pPr>
    </w:lvl>
    <w:lvl w:ilvl="6" w:tplc="240A000F" w:tentative="1">
      <w:start w:val="1"/>
      <w:numFmt w:val="decimal"/>
      <w:lvlText w:val="%7."/>
      <w:lvlJc w:val="left"/>
      <w:pPr>
        <w:ind w:left="5044" w:hanging="360"/>
      </w:pPr>
    </w:lvl>
    <w:lvl w:ilvl="7" w:tplc="240A0019" w:tentative="1">
      <w:start w:val="1"/>
      <w:numFmt w:val="lowerLetter"/>
      <w:lvlText w:val="%8."/>
      <w:lvlJc w:val="left"/>
      <w:pPr>
        <w:ind w:left="5764" w:hanging="360"/>
      </w:pPr>
    </w:lvl>
    <w:lvl w:ilvl="8" w:tplc="240A001B" w:tentative="1">
      <w:start w:val="1"/>
      <w:numFmt w:val="lowerRoman"/>
      <w:lvlText w:val="%9."/>
      <w:lvlJc w:val="right"/>
      <w:pPr>
        <w:ind w:left="6484" w:hanging="180"/>
      </w:pPr>
    </w:lvl>
  </w:abstractNum>
  <w:abstractNum w:abstractNumId="29" w15:restartNumberingAfterBreak="0">
    <w:nsid w:val="4B357C87"/>
    <w:multiLevelType w:val="hybridMultilevel"/>
    <w:tmpl w:val="5E2C1308"/>
    <w:lvl w:ilvl="0" w:tplc="F5FEDCCE">
      <w:start w:val="3"/>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D696F06"/>
    <w:multiLevelType w:val="hybridMultilevel"/>
    <w:tmpl w:val="E012C352"/>
    <w:lvl w:ilvl="0" w:tplc="693A4B3A">
      <w:start w:val="9"/>
      <w:numFmt w:val="lowerLetter"/>
      <w:lvlText w:val="%1)"/>
      <w:lvlJc w:val="left"/>
      <w:pPr>
        <w:ind w:left="719" w:hanging="360"/>
      </w:pPr>
    </w:lvl>
    <w:lvl w:ilvl="1" w:tplc="240A0019">
      <w:start w:val="1"/>
      <w:numFmt w:val="lowerLetter"/>
      <w:lvlText w:val="%2."/>
      <w:lvlJc w:val="left"/>
      <w:pPr>
        <w:ind w:left="1439" w:hanging="360"/>
      </w:pPr>
    </w:lvl>
    <w:lvl w:ilvl="2" w:tplc="240A001B">
      <w:start w:val="1"/>
      <w:numFmt w:val="lowerRoman"/>
      <w:lvlText w:val="%3."/>
      <w:lvlJc w:val="right"/>
      <w:pPr>
        <w:ind w:left="2159" w:hanging="180"/>
      </w:pPr>
    </w:lvl>
    <w:lvl w:ilvl="3" w:tplc="240A000F">
      <w:start w:val="1"/>
      <w:numFmt w:val="decimal"/>
      <w:lvlText w:val="%4."/>
      <w:lvlJc w:val="left"/>
      <w:pPr>
        <w:ind w:left="2879" w:hanging="360"/>
      </w:pPr>
    </w:lvl>
    <w:lvl w:ilvl="4" w:tplc="240A0019">
      <w:start w:val="1"/>
      <w:numFmt w:val="lowerLetter"/>
      <w:lvlText w:val="%5."/>
      <w:lvlJc w:val="left"/>
      <w:pPr>
        <w:ind w:left="3599" w:hanging="360"/>
      </w:pPr>
    </w:lvl>
    <w:lvl w:ilvl="5" w:tplc="240A001B">
      <w:start w:val="1"/>
      <w:numFmt w:val="lowerRoman"/>
      <w:lvlText w:val="%6."/>
      <w:lvlJc w:val="right"/>
      <w:pPr>
        <w:ind w:left="4319" w:hanging="180"/>
      </w:pPr>
    </w:lvl>
    <w:lvl w:ilvl="6" w:tplc="240A000F">
      <w:start w:val="1"/>
      <w:numFmt w:val="decimal"/>
      <w:lvlText w:val="%7."/>
      <w:lvlJc w:val="left"/>
      <w:pPr>
        <w:ind w:left="5039" w:hanging="360"/>
      </w:pPr>
    </w:lvl>
    <w:lvl w:ilvl="7" w:tplc="240A0019">
      <w:start w:val="1"/>
      <w:numFmt w:val="lowerLetter"/>
      <w:lvlText w:val="%8."/>
      <w:lvlJc w:val="left"/>
      <w:pPr>
        <w:ind w:left="5759" w:hanging="360"/>
      </w:pPr>
    </w:lvl>
    <w:lvl w:ilvl="8" w:tplc="240A001B">
      <w:start w:val="1"/>
      <w:numFmt w:val="lowerRoman"/>
      <w:lvlText w:val="%9."/>
      <w:lvlJc w:val="right"/>
      <w:pPr>
        <w:ind w:left="6479" w:hanging="180"/>
      </w:pPr>
    </w:lvl>
  </w:abstractNum>
  <w:abstractNum w:abstractNumId="31" w15:restartNumberingAfterBreak="0">
    <w:nsid w:val="4E0C5B7C"/>
    <w:multiLevelType w:val="hybridMultilevel"/>
    <w:tmpl w:val="CBE6DA1E"/>
    <w:lvl w:ilvl="0" w:tplc="957C6118">
      <w:start w:val="1"/>
      <w:numFmt w:val="decimal"/>
      <w:lvlText w:val="%1."/>
      <w:lvlJc w:val="left"/>
      <w:pPr>
        <w:ind w:left="720" w:hanging="360"/>
      </w:pPr>
      <w:rPr>
        <w:rFonts w:cs="Times New Roman"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52153FD2"/>
    <w:multiLevelType w:val="hybridMultilevel"/>
    <w:tmpl w:val="CF0482F0"/>
    <w:lvl w:ilvl="0" w:tplc="0C0A001B">
      <w:start w:val="1"/>
      <w:numFmt w:val="lowerRoman"/>
      <w:lvlText w:val="%1."/>
      <w:lvlJc w:val="right"/>
      <w:pPr>
        <w:tabs>
          <w:tab w:val="num" w:pos="720"/>
        </w:tabs>
        <w:ind w:left="720" w:hanging="360"/>
      </w:pPr>
      <w:rPr>
        <w:rFonts w:cs="Times New Roman" w:hint="default"/>
      </w:rPr>
    </w:lvl>
    <w:lvl w:ilvl="1" w:tplc="08924130">
      <w:start w:val="1"/>
      <w:numFmt w:val="none"/>
      <w:lvlText w:val="a)"/>
      <w:lvlJc w:val="left"/>
      <w:pPr>
        <w:tabs>
          <w:tab w:val="num" w:pos="1800"/>
        </w:tabs>
        <w:ind w:left="1800" w:hanging="720"/>
      </w:pPr>
      <w:rPr>
        <w:rFonts w:cs="Times New Roman" w:hint="default"/>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33" w15:restartNumberingAfterBreak="0">
    <w:nsid w:val="53AF369E"/>
    <w:multiLevelType w:val="hybridMultilevel"/>
    <w:tmpl w:val="B05AEC24"/>
    <w:lvl w:ilvl="0" w:tplc="9EEAEEB4">
      <w:start w:val="2"/>
      <w:numFmt w:val="lowerRoman"/>
      <w:lvlText w:val="%1)"/>
      <w:lvlJc w:val="left"/>
      <w:pPr>
        <w:tabs>
          <w:tab w:val="num" w:pos="1800"/>
        </w:tabs>
        <w:ind w:left="1800" w:hanging="720"/>
      </w:pPr>
      <w:rPr>
        <w:rFonts w:ascii="Arial" w:eastAsia="Times New Roman" w:hAnsi="Arial" w:cs="Arial" w:hint="default"/>
        <w:b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4" w15:restartNumberingAfterBreak="0">
    <w:nsid w:val="549B16FD"/>
    <w:multiLevelType w:val="multilevel"/>
    <w:tmpl w:val="509CCF66"/>
    <w:lvl w:ilvl="0">
      <w:start w:val="4"/>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6D3120B"/>
    <w:multiLevelType w:val="hybridMultilevel"/>
    <w:tmpl w:val="A43E80A6"/>
    <w:lvl w:ilvl="0" w:tplc="240A001B">
      <w:start w:val="1"/>
      <w:numFmt w:val="lowerRoman"/>
      <w:lvlText w:val="%1."/>
      <w:lvlJc w:val="right"/>
      <w:pPr>
        <w:ind w:left="721" w:hanging="360"/>
      </w:pPr>
    </w:lvl>
    <w:lvl w:ilvl="1" w:tplc="240A0019" w:tentative="1">
      <w:start w:val="1"/>
      <w:numFmt w:val="lowerLetter"/>
      <w:lvlText w:val="%2."/>
      <w:lvlJc w:val="left"/>
      <w:pPr>
        <w:ind w:left="1441" w:hanging="360"/>
      </w:pPr>
    </w:lvl>
    <w:lvl w:ilvl="2" w:tplc="240A001B" w:tentative="1">
      <w:start w:val="1"/>
      <w:numFmt w:val="lowerRoman"/>
      <w:lvlText w:val="%3."/>
      <w:lvlJc w:val="right"/>
      <w:pPr>
        <w:ind w:left="2161" w:hanging="180"/>
      </w:pPr>
    </w:lvl>
    <w:lvl w:ilvl="3" w:tplc="240A000F" w:tentative="1">
      <w:start w:val="1"/>
      <w:numFmt w:val="decimal"/>
      <w:lvlText w:val="%4."/>
      <w:lvlJc w:val="left"/>
      <w:pPr>
        <w:ind w:left="2881" w:hanging="360"/>
      </w:pPr>
    </w:lvl>
    <w:lvl w:ilvl="4" w:tplc="240A0019" w:tentative="1">
      <w:start w:val="1"/>
      <w:numFmt w:val="lowerLetter"/>
      <w:lvlText w:val="%5."/>
      <w:lvlJc w:val="left"/>
      <w:pPr>
        <w:ind w:left="3601" w:hanging="360"/>
      </w:pPr>
    </w:lvl>
    <w:lvl w:ilvl="5" w:tplc="240A001B" w:tentative="1">
      <w:start w:val="1"/>
      <w:numFmt w:val="lowerRoman"/>
      <w:lvlText w:val="%6."/>
      <w:lvlJc w:val="right"/>
      <w:pPr>
        <w:ind w:left="4321" w:hanging="180"/>
      </w:pPr>
    </w:lvl>
    <w:lvl w:ilvl="6" w:tplc="240A000F" w:tentative="1">
      <w:start w:val="1"/>
      <w:numFmt w:val="decimal"/>
      <w:lvlText w:val="%7."/>
      <w:lvlJc w:val="left"/>
      <w:pPr>
        <w:ind w:left="5041" w:hanging="360"/>
      </w:pPr>
    </w:lvl>
    <w:lvl w:ilvl="7" w:tplc="240A0019" w:tentative="1">
      <w:start w:val="1"/>
      <w:numFmt w:val="lowerLetter"/>
      <w:lvlText w:val="%8."/>
      <w:lvlJc w:val="left"/>
      <w:pPr>
        <w:ind w:left="5761" w:hanging="360"/>
      </w:pPr>
    </w:lvl>
    <w:lvl w:ilvl="8" w:tplc="240A001B" w:tentative="1">
      <w:start w:val="1"/>
      <w:numFmt w:val="lowerRoman"/>
      <w:lvlText w:val="%9."/>
      <w:lvlJc w:val="right"/>
      <w:pPr>
        <w:ind w:left="6481" w:hanging="180"/>
      </w:pPr>
    </w:lvl>
  </w:abstractNum>
  <w:abstractNum w:abstractNumId="36" w15:restartNumberingAfterBreak="0">
    <w:nsid w:val="56D873E8"/>
    <w:multiLevelType w:val="hybridMultilevel"/>
    <w:tmpl w:val="79A085AC"/>
    <w:lvl w:ilvl="0" w:tplc="C78CD6C2">
      <w:start w:val="1"/>
      <w:numFmt w:val="decimal"/>
      <w:lvlText w:val="%1."/>
      <w:lvlJc w:val="left"/>
      <w:pPr>
        <w:ind w:left="720" w:hanging="360"/>
      </w:pPr>
      <w:rPr>
        <w:rFonts w:hint="default"/>
        <w:b/>
        <w:sz w:val="1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58591FEC"/>
    <w:multiLevelType w:val="hybridMultilevel"/>
    <w:tmpl w:val="A62A31F2"/>
    <w:lvl w:ilvl="0" w:tplc="BE986BEC">
      <w:start w:val="1"/>
      <w:numFmt w:val="lowerRoman"/>
      <w:lvlText w:val="%1."/>
      <w:lvlJc w:val="right"/>
      <w:pPr>
        <w:tabs>
          <w:tab w:val="num" w:pos="719"/>
        </w:tabs>
        <w:ind w:left="719" w:hanging="360"/>
      </w:pPr>
      <w:rPr>
        <w:rFonts w:cs="Times New Roman" w:hint="default"/>
      </w:rPr>
    </w:lvl>
    <w:lvl w:ilvl="1" w:tplc="D77C6060">
      <w:start w:val="1"/>
      <w:numFmt w:val="lowerLetter"/>
      <w:lvlText w:val="%2)"/>
      <w:lvlJc w:val="left"/>
      <w:pPr>
        <w:tabs>
          <w:tab w:val="num" w:pos="1440"/>
        </w:tabs>
        <w:ind w:left="1440" w:hanging="360"/>
      </w:pPr>
      <w:rPr>
        <w:rFonts w:ascii="Arial" w:eastAsia="Times New Roman" w:hAnsi="Arial" w:cs="Arial"/>
      </w:rPr>
    </w:lvl>
    <w:lvl w:ilvl="2" w:tplc="61EE7782">
      <w:start w:val="1"/>
      <w:numFmt w:val="lowerRoman"/>
      <w:lvlText w:val="(%3)"/>
      <w:lvlJc w:val="left"/>
      <w:pPr>
        <w:tabs>
          <w:tab w:val="num" w:pos="2700"/>
        </w:tabs>
        <w:ind w:left="2700" w:hanging="720"/>
      </w:pPr>
      <w:rPr>
        <w:rFonts w:hint="default"/>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ACE6D13"/>
    <w:multiLevelType w:val="multilevel"/>
    <w:tmpl w:val="6B7C097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5E0831E3"/>
    <w:multiLevelType w:val="hybridMultilevel"/>
    <w:tmpl w:val="F6FE2B52"/>
    <w:lvl w:ilvl="0" w:tplc="DE5CEEAC">
      <w:start w:val="2"/>
      <w:numFmt w:val="low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15:restartNumberingAfterBreak="0">
    <w:nsid w:val="635619BF"/>
    <w:multiLevelType w:val="multilevel"/>
    <w:tmpl w:val="F37459C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638D55F0"/>
    <w:multiLevelType w:val="hybridMultilevel"/>
    <w:tmpl w:val="1F44FE68"/>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6B113ED3"/>
    <w:multiLevelType w:val="hybridMultilevel"/>
    <w:tmpl w:val="6E984E5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3" w15:restartNumberingAfterBreak="0">
    <w:nsid w:val="6D2610F5"/>
    <w:multiLevelType w:val="hybridMultilevel"/>
    <w:tmpl w:val="7E528C90"/>
    <w:lvl w:ilvl="0" w:tplc="0494D9EC">
      <w:start w:val="1"/>
      <w:numFmt w:val="lowerRoman"/>
      <w:lvlText w:val="%1)"/>
      <w:lvlJc w:val="left"/>
      <w:pPr>
        <w:tabs>
          <w:tab w:val="num" w:pos="1800"/>
        </w:tabs>
        <w:ind w:left="1800" w:hanging="720"/>
      </w:pPr>
      <w:rPr>
        <w:rFonts w:ascii="Arial" w:eastAsia="Times New Roman" w:hAnsi="Arial" w:cs="Aria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75DE1A88"/>
    <w:multiLevelType w:val="hybridMultilevel"/>
    <w:tmpl w:val="0BDE81B6"/>
    <w:lvl w:ilvl="0" w:tplc="0C0A0017">
      <w:start w:val="1"/>
      <w:numFmt w:val="lowerLetter"/>
      <w:lvlText w:val="%1)"/>
      <w:lvlJc w:val="left"/>
      <w:pPr>
        <w:tabs>
          <w:tab w:val="num" w:pos="719"/>
        </w:tabs>
        <w:ind w:left="719" w:hanging="360"/>
      </w:pPr>
      <w:rPr>
        <w:rFonts w:cs="Times New Roman" w:hint="default"/>
      </w:rPr>
    </w:lvl>
    <w:lvl w:ilvl="1" w:tplc="0C0A0019" w:tentative="1">
      <w:start w:val="1"/>
      <w:numFmt w:val="lowerLetter"/>
      <w:lvlText w:val="%2."/>
      <w:lvlJc w:val="left"/>
      <w:pPr>
        <w:tabs>
          <w:tab w:val="num" w:pos="1439"/>
        </w:tabs>
        <w:ind w:left="1439" w:hanging="360"/>
      </w:pPr>
      <w:rPr>
        <w:rFonts w:cs="Times New Roman"/>
      </w:rPr>
    </w:lvl>
    <w:lvl w:ilvl="2" w:tplc="0C0A001B" w:tentative="1">
      <w:start w:val="1"/>
      <w:numFmt w:val="lowerRoman"/>
      <w:lvlText w:val="%3."/>
      <w:lvlJc w:val="right"/>
      <w:pPr>
        <w:tabs>
          <w:tab w:val="num" w:pos="2159"/>
        </w:tabs>
        <w:ind w:left="2159" w:hanging="180"/>
      </w:pPr>
      <w:rPr>
        <w:rFonts w:cs="Times New Roman"/>
      </w:rPr>
    </w:lvl>
    <w:lvl w:ilvl="3" w:tplc="0C0A000F" w:tentative="1">
      <w:start w:val="1"/>
      <w:numFmt w:val="decimal"/>
      <w:lvlText w:val="%4."/>
      <w:lvlJc w:val="left"/>
      <w:pPr>
        <w:tabs>
          <w:tab w:val="num" w:pos="2879"/>
        </w:tabs>
        <w:ind w:left="2879" w:hanging="360"/>
      </w:pPr>
      <w:rPr>
        <w:rFonts w:cs="Times New Roman"/>
      </w:rPr>
    </w:lvl>
    <w:lvl w:ilvl="4" w:tplc="0C0A0019" w:tentative="1">
      <w:start w:val="1"/>
      <w:numFmt w:val="lowerLetter"/>
      <w:lvlText w:val="%5."/>
      <w:lvlJc w:val="left"/>
      <w:pPr>
        <w:tabs>
          <w:tab w:val="num" w:pos="3599"/>
        </w:tabs>
        <w:ind w:left="3599" w:hanging="360"/>
      </w:pPr>
      <w:rPr>
        <w:rFonts w:cs="Times New Roman"/>
      </w:rPr>
    </w:lvl>
    <w:lvl w:ilvl="5" w:tplc="0C0A001B" w:tentative="1">
      <w:start w:val="1"/>
      <w:numFmt w:val="lowerRoman"/>
      <w:lvlText w:val="%6."/>
      <w:lvlJc w:val="right"/>
      <w:pPr>
        <w:tabs>
          <w:tab w:val="num" w:pos="4319"/>
        </w:tabs>
        <w:ind w:left="4319" w:hanging="180"/>
      </w:pPr>
      <w:rPr>
        <w:rFonts w:cs="Times New Roman"/>
      </w:rPr>
    </w:lvl>
    <w:lvl w:ilvl="6" w:tplc="0C0A000F" w:tentative="1">
      <w:start w:val="1"/>
      <w:numFmt w:val="decimal"/>
      <w:lvlText w:val="%7."/>
      <w:lvlJc w:val="left"/>
      <w:pPr>
        <w:tabs>
          <w:tab w:val="num" w:pos="5039"/>
        </w:tabs>
        <w:ind w:left="5039" w:hanging="360"/>
      </w:pPr>
      <w:rPr>
        <w:rFonts w:cs="Times New Roman"/>
      </w:rPr>
    </w:lvl>
    <w:lvl w:ilvl="7" w:tplc="0C0A0019" w:tentative="1">
      <w:start w:val="1"/>
      <w:numFmt w:val="lowerLetter"/>
      <w:lvlText w:val="%8."/>
      <w:lvlJc w:val="left"/>
      <w:pPr>
        <w:tabs>
          <w:tab w:val="num" w:pos="5759"/>
        </w:tabs>
        <w:ind w:left="5759" w:hanging="360"/>
      </w:pPr>
      <w:rPr>
        <w:rFonts w:cs="Times New Roman"/>
      </w:rPr>
    </w:lvl>
    <w:lvl w:ilvl="8" w:tplc="0C0A001B" w:tentative="1">
      <w:start w:val="1"/>
      <w:numFmt w:val="lowerRoman"/>
      <w:lvlText w:val="%9."/>
      <w:lvlJc w:val="right"/>
      <w:pPr>
        <w:tabs>
          <w:tab w:val="num" w:pos="6479"/>
        </w:tabs>
        <w:ind w:left="6479" w:hanging="180"/>
      </w:pPr>
      <w:rPr>
        <w:rFonts w:cs="Times New Roman"/>
      </w:rPr>
    </w:lvl>
  </w:abstractNum>
  <w:abstractNum w:abstractNumId="45" w15:restartNumberingAfterBreak="0">
    <w:nsid w:val="772E69A1"/>
    <w:multiLevelType w:val="hybridMultilevel"/>
    <w:tmpl w:val="35DCA2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7AC94500"/>
    <w:multiLevelType w:val="hybridMultilevel"/>
    <w:tmpl w:val="DF8EF2B8"/>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16cid:durableId="1575361045">
    <w:abstractNumId w:val="18"/>
  </w:num>
  <w:num w:numId="2" w16cid:durableId="534856437">
    <w:abstractNumId w:val="21"/>
  </w:num>
  <w:num w:numId="3" w16cid:durableId="1988893789">
    <w:abstractNumId w:val="46"/>
  </w:num>
  <w:num w:numId="4" w16cid:durableId="445462796">
    <w:abstractNumId w:val="25"/>
  </w:num>
  <w:num w:numId="5" w16cid:durableId="697587446">
    <w:abstractNumId w:val="8"/>
  </w:num>
  <w:num w:numId="6" w16cid:durableId="519203707">
    <w:abstractNumId w:val="37"/>
  </w:num>
  <w:num w:numId="7" w16cid:durableId="1289894540">
    <w:abstractNumId w:val="19"/>
  </w:num>
  <w:num w:numId="8" w16cid:durableId="1981685514">
    <w:abstractNumId w:val="29"/>
  </w:num>
  <w:num w:numId="9" w16cid:durableId="11094717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72449237">
    <w:abstractNumId w:val="26"/>
  </w:num>
  <w:num w:numId="11" w16cid:durableId="13524121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57511201">
    <w:abstractNumId w:val="40"/>
  </w:num>
  <w:num w:numId="13" w16cid:durableId="134875139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344687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70752291">
    <w:abstractNumId w:val="6"/>
  </w:num>
  <w:num w:numId="16" w16cid:durableId="390810518">
    <w:abstractNumId w:val="33"/>
  </w:num>
  <w:num w:numId="17" w16cid:durableId="655651251">
    <w:abstractNumId w:val="30"/>
  </w:num>
  <w:num w:numId="18" w16cid:durableId="37635420">
    <w:abstractNumId w:val="11"/>
  </w:num>
  <w:num w:numId="19" w16cid:durableId="1907910714">
    <w:abstractNumId w:val="17"/>
  </w:num>
  <w:num w:numId="20" w16cid:durableId="1824740919">
    <w:abstractNumId w:val="24"/>
  </w:num>
  <w:num w:numId="21" w16cid:durableId="1615749508">
    <w:abstractNumId w:val="38"/>
  </w:num>
  <w:num w:numId="22" w16cid:durableId="1111045440">
    <w:abstractNumId w:val="2"/>
  </w:num>
  <w:num w:numId="23" w16cid:durableId="1424180207">
    <w:abstractNumId w:val="34"/>
  </w:num>
  <w:num w:numId="24" w16cid:durableId="320354401">
    <w:abstractNumId w:val="4"/>
  </w:num>
  <w:num w:numId="25" w16cid:durableId="511846518">
    <w:abstractNumId w:val="45"/>
  </w:num>
  <w:num w:numId="26" w16cid:durableId="576745958">
    <w:abstractNumId w:val="13"/>
  </w:num>
  <w:num w:numId="27" w16cid:durableId="933242841">
    <w:abstractNumId w:val="0"/>
  </w:num>
  <w:num w:numId="28" w16cid:durableId="999311877">
    <w:abstractNumId w:val="27"/>
  </w:num>
  <w:num w:numId="29" w16cid:durableId="368922553">
    <w:abstractNumId w:val="39"/>
  </w:num>
  <w:num w:numId="30" w16cid:durableId="1977952709">
    <w:abstractNumId w:val="36"/>
  </w:num>
  <w:num w:numId="31" w16cid:durableId="927075259">
    <w:abstractNumId w:val="15"/>
  </w:num>
  <w:num w:numId="32" w16cid:durableId="518662205">
    <w:abstractNumId w:val="16"/>
  </w:num>
  <w:num w:numId="33" w16cid:durableId="849291626">
    <w:abstractNumId w:val="3"/>
  </w:num>
  <w:num w:numId="34" w16cid:durableId="1597210169">
    <w:abstractNumId w:val="12"/>
  </w:num>
  <w:num w:numId="35" w16cid:durableId="866989892">
    <w:abstractNumId w:val="9"/>
  </w:num>
  <w:num w:numId="36" w16cid:durableId="1843080766">
    <w:abstractNumId w:val="22"/>
  </w:num>
  <w:num w:numId="37" w16cid:durableId="797601303">
    <w:abstractNumId w:val="3"/>
  </w:num>
  <w:num w:numId="38" w16cid:durableId="858813936">
    <w:abstractNumId w:val="41"/>
  </w:num>
  <w:num w:numId="39" w16cid:durableId="1954089041">
    <w:abstractNumId w:val="7"/>
  </w:num>
  <w:num w:numId="40" w16cid:durableId="1003436449">
    <w:abstractNumId w:val="35"/>
  </w:num>
  <w:num w:numId="41" w16cid:durableId="840006006">
    <w:abstractNumId w:val="1"/>
  </w:num>
  <w:num w:numId="42" w16cid:durableId="766341002">
    <w:abstractNumId w:val="10"/>
  </w:num>
  <w:num w:numId="43" w16cid:durableId="1519925870">
    <w:abstractNumId w:val="23"/>
  </w:num>
  <w:num w:numId="44" w16cid:durableId="1410809300">
    <w:abstractNumId w:val="20"/>
  </w:num>
  <w:num w:numId="45" w16cid:durableId="531458830">
    <w:abstractNumId w:val="28"/>
  </w:num>
  <w:num w:numId="46" w16cid:durableId="1928421600">
    <w:abstractNumId w:val="31"/>
  </w:num>
  <w:num w:numId="47" w16cid:durableId="2104103090">
    <w:abstractNumId w:val="14"/>
  </w:num>
  <w:num w:numId="48" w16cid:durableId="1051656316">
    <w:abstractNumId w:val="4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defaultTabStop w:val="0"/>
  <w:hyphenationZone w:val="425"/>
  <w:displayHorizontalDrawingGridEvery w:val="0"/>
  <w:displayVerticalDrawingGridEvery w:val="0"/>
  <w:doNotUseMarginsForDrawingGridOrigin/>
  <w:noPunctuationKerning/>
  <w:characterSpacingControl w:val="doNotCompress"/>
  <w:hdrShapeDefaults>
    <o:shapedefaults v:ext="edit" spidmax="205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C97"/>
    <w:rsid w:val="00002321"/>
    <w:rsid w:val="0000362E"/>
    <w:rsid w:val="0000413D"/>
    <w:rsid w:val="00004D1E"/>
    <w:rsid w:val="0000515F"/>
    <w:rsid w:val="00005957"/>
    <w:rsid w:val="00005B51"/>
    <w:rsid w:val="000071D0"/>
    <w:rsid w:val="00007C2B"/>
    <w:rsid w:val="00010AE3"/>
    <w:rsid w:val="00010E72"/>
    <w:rsid w:val="0001122F"/>
    <w:rsid w:val="0001173F"/>
    <w:rsid w:val="00011882"/>
    <w:rsid w:val="00011AB2"/>
    <w:rsid w:val="00011AF5"/>
    <w:rsid w:val="00014D52"/>
    <w:rsid w:val="0001692F"/>
    <w:rsid w:val="0001704D"/>
    <w:rsid w:val="00017F59"/>
    <w:rsid w:val="000214BB"/>
    <w:rsid w:val="00021A7B"/>
    <w:rsid w:val="00022855"/>
    <w:rsid w:val="000248EA"/>
    <w:rsid w:val="00024997"/>
    <w:rsid w:val="00024C62"/>
    <w:rsid w:val="0002510A"/>
    <w:rsid w:val="000252BF"/>
    <w:rsid w:val="000256C1"/>
    <w:rsid w:val="00025D55"/>
    <w:rsid w:val="000271F1"/>
    <w:rsid w:val="00027732"/>
    <w:rsid w:val="0002781E"/>
    <w:rsid w:val="00027D2F"/>
    <w:rsid w:val="000306E4"/>
    <w:rsid w:val="00030B7A"/>
    <w:rsid w:val="00030D04"/>
    <w:rsid w:val="000312A5"/>
    <w:rsid w:val="000319D0"/>
    <w:rsid w:val="00031E75"/>
    <w:rsid w:val="00032134"/>
    <w:rsid w:val="00032676"/>
    <w:rsid w:val="00032F0A"/>
    <w:rsid w:val="00033340"/>
    <w:rsid w:val="000342B5"/>
    <w:rsid w:val="000342FF"/>
    <w:rsid w:val="0003460E"/>
    <w:rsid w:val="00034739"/>
    <w:rsid w:val="0003518A"/>
    <w:rsid w:val="00035DFF"/>
    <w:rsid w:val="000360F1"/>
    <w:rsid w:val="000363DB"/>
    <w:rsid w:val="00036AD2"/>
    <w:rsid w:val="00036EED"/>
    <w:rsid w:val="000374F9"/>
    <w:rsid w:val="0004008E"/>
    <w:rsid w:val="00040666"/>
    <w:rsid w:val="0004223B"/>
    <w:rsid w:val="0004235A"/>
    <w:rsid w:val="00042532"/>
    <w:rsid w:val="00045CC0"/>
    <w:rsid w:val="000460E8"/>
    <w:rsid w:val="000466B2"/>
    <w:rsid w:val="00047769"/>
    <w:rsid w:val="000477CF"/>
    <w:rsid w:val="00047C69"/>
    <w:rsid w:val="00050038"/>
    <w:rsid w:val="000501FD"/>
    <w:rsid w:val="000523C1"/>
    <w:rsid w:val="00052BAA"/>
    <w:rsid w:val="000548D1"/>
    <w:rsid w:val="00054998"/>
    <w:rsid w:val="00055AFB"/>
    <w:rsid w:val="00056464"/>
    <w:rsid w:val="00056EC5"/>
    <w:rsid w:val="000576D3"/>
    <w:rsid w:val="00057C56"/>
    <w:rsid w:val="00060070"/>
    <w:rsid w:val="0006022E"/>
    <w:rsid w:val="00060DB6"/>
    <w:rsid w:val="00062130"/>
    <w:rsid w:val="00062521"/>
    <w:rsid w:val="00062CC1"/>
    <w:rsid w:val="000630D7"/>
    <w:rsid w:val="00064873"/>
    <w:rsid w:val="00065103"/>
    <w:rsid w:val="000654F7"/>
    <w:rsid w:val="000663A9"/>
    <w:rsid w:val="00066848"/>
    <w:rsid w:val="00066DE9"/>
    <w:rsid w:val="00066E8F"/>
    <w:rsid w:val="00066F0C"/>
    <w:rsid w:val="000674A6"/>
    <w:rsid w:val="0006774F"/>
    <w:rsid w:val="000677E8"/>
    <w:rsid w:val="00067809"/>
    <w:rsid w:val="00067E63"/>
    <w:rsid w:val="00070C67"/>
    <w:rsid w:val="00070DFB"/>
    <w:rsid w:val="000712CF"/>
    <w:rsid w:val="00071FCA"/>
    <w:rsid w:val="0007213F"/>
    <w:rsid w:val="00072193"/>
    <w:rsid w:val="000730FF"/>
    <w:rsid w:val="00074814"/>
    <w:rsid w:val="00074CBF"/>
    <w:rsid w:val="00074EF1"/>
    <w:rsid w:val="000753EC"/>
    <w:rsid w:val="0007623A"/>
    <w:rsid w:val="00076306"/>
    <w:rsid w:val="000764F5"/>
    <w:rsid w:val="00076963"/>
    <w:rsid w:val="00077156"/>
    <w:rsid w:val="000771C0"/>
    <w:rsid w:val="0007783A"/>
    <w:rsid w:val="00077A14"/>
    <w:rsid w:val="000808AF"/>
    <w:rsid w:val="00080D02"/>
    <w:rsid w:val="0008221D"/>
    <w:rsid w:val="0008250F"/>
    <w:rsid w:val="00083420"/>
    <w:rsid w:val="00084236"/>
    <w:rsid w:val="0008576C"/>
    <w:rsid w:val="00085E63"/>
    <w:rsid w:val="000869A1"/>
    <w:rsid w:val="000869E7"/>
    <w:rsid w:val="00086C3F"/>
    <w:rsid w:val="0008709A"/>
    <w:rsid w:val="00087343"/>
    <w:rsid w:val="000877CE"/>
    <w:rsid w:val="00091807"/>
    <w:rsid w:val="00091E4E"/>
    <w:rsid w:val="000923C1"/>
    <w:rsid w:val="000928E3"/>
    <w:rsid w:val="00092EDE"/>
    <w:rsid w:val="0009372E"/>
    <w:rsid w:val="00093731"/>
    <w:rsid w:val="00093A8A"/>
    <w:rsid w:val="00093CD5"/>
    <w:rsid w:val="000943B4"/>
    <w:rsid w:val="000949ED"/>
    <w:rsid w:val="00094BBC"/>
    <w:rsid w:val="00094D90"/>
    <w:rsid w:val="00094F12"/>
    <w:rsid w:val="00096744"/>
    <w:rsid w:val="00096951"/>
    <w:rsid w:val="00096A82"/>
    <w:rsid w:val="000A1130"/>
    <w:rsid w:val="000A17D7"/>
    <w:rsid w:val="000A2405"/>
    <w:rsid w:val="000A2AB4"/>
    <w:rsid w:val="000A3AB0"/>
    <w:rsid w:val="000A3E5E"/>
    <w:rsid w:val="000A49B3"/>
    <w:rsid w:val="000A4C03"/>
    <w:rsid w:val="000A4C40"/>
    <w:rsid w:val="000A4E6D"/>
    <w:rsid w:val="000A533E"/>
    <w:rsid w:val="000A59C0"/>
    <w:rsid w:val="000A642C"/>
    <w:rsid w:val="000A6DAC"/>
    <w:rsid w:val="000A6EED"/>
    <w:rsid w:val="000A6F3E"/>
    <w:rsid w:val="000A76C0"/>
    <w:rsid w:val="000B006E"/>
    <w:rsid w:val="000B0110"/>
    <w:rsid w:val="000B0379"/>
    <w:rsid w:val="000B0B0B"/>
    <w:rsid w:val="000B1438"/>
    <w:rsid w:val="000B1C80"/>
    <w:rsid w:val="000B2730"/>
    <w:rsid w:val="000B28E4"/>
    <w:rsid w:val="000B3DF6"/>
    <w:rsid w:val="000B46C9"/>
    <w:rsid w:val="000B4FBF"/>
    <w:rsid w:val="000B53C6"/>
    <w:rsid w:val="000B57BC"/>
    <w:rsid w:val="000B5C21"/>
    <w:rsid w:val="000B63AE"/>
    <w:rsid w:val="000B6AC7"/>
    <w:rsid w:val="000B7CA7"/>
    <w:rsid w:val="000C1226"/>
    <w:rsid w:val="000C1449"/>
    <w:rsid w:val="000C207E"/>
    <w:rsid w:val="000C2371"/>
    <w:rsid w:val="000C2471"/>
    <w:rsid w:val="000C27F2"/>
    <w:rsid w:val="000C2F37"/>
    <w:rsid w:val="000C3012"/>
    <w:rsid w:val="000C43A7"/>
    <w:rsid w:val="000C461A"/>
    <w:rsid w:val="000C4C4D"/>
    <w:rsid w:val="000C4F6C"/>
    <w:rsid w:val="000C4F78"/>
    <w:rsid w:val="000C5160"/>
    <w:rsid w:val="000C54BC"/>
    <w:rsid w:val="000C58BD"/>
    <w:rsid w:val="000C5A93"/>
    <w:rsid w:val="000C5AC1"/>
    <w:rsid w:val="000C5E25"/>
    <w:rsid w:val="000C60BE"/>
    <w:rsid w:val="000C61DB"/>
    <w:rsid w:val="000C6E11"/>
    <w:rsid w:val="000C74A0"/>
    <w:rsid w:val="000C7820"/>
    <w:rsid w:val="000D0577"/>
    <w:rsid w:val="000D0C80"/>
    <w:rsid w:val="000D0FA3"/>
    <w:rsid w:val="000D357A"/>
    <w:rsid w:val="000D380F"/>
    <w:rsid w:val="000D46E7"/>
    <w:rsid w:val="000D4C03"/>
    <w:rsid w:val="000D4CE9"/>
    <w:rsid w:val="000D52A7"/>
    <w:rsid w:val="000D623E"/>
    <w:rsid w:val="000D72DF"/>
    <w:rsid w:val="000D7461"/>
    <w:rsid w:val="000D751B"/>
    <w:rsid w:val="000D755E"/>
    <w:rsid w:val="000D7AB7"/>
    <w:rsid w:val="000D7FA2"/>
    <w:rsid w:val="000E0020"/>
    <w:rsid w:val="000E036D"/>
    <w:rsid w:val="000E0685"/>
    <w:rsid w:val="000E0CD7"/>
    <w:rsid w:val="000E1308"/>
    <w:rsid w:val="000E16F8"/>
    <w:rsid w:val="000E22A5"/>
    <w:rsid w:val="000E2D51"/>
    <w:rsid w:val="000E3145"/>
    <w:rsid w:val="000E3622"/>
    <w:rsid w:val="000E37B9"/>
    <w:rsid w:val="000E3F55"/>
    <w:rsid w:val="000E4BBB"/>
    <w:rsid w:val="000E4CF9"/>
    <w:rsid w:val="000E4FCB"/>
    <w:rsid w:val="000E5BCF"/>
    <w:rsid w:val="000E5F63"/>
    <w:rsid w:val="000E6494"/>
    <w:rsid w:val="000E772D"/>
    <w:rsid w:val="000E7F09"/>
    <w:rsid w:val="000F00E3"/>
    <w:rsid w:val="000F016F"/>
    <w:rsid w:val="000F0828"/>
    <w:rsid w:val="000F0840"/>
    <w:rsid w:val="000F098B"/>
    <w:rsid w:val="000F2D30"/>
    <w:rsid w:val="000F37CD"/>
    <w:rsid w:val="000F40BD"/>
    <w:rsid w:val="000F46CC"/>
    <w:rsid w:val="000F4949"/>
    <w:rsid w:val="000F4B1E"/>
    <w:rsid w:val="000F569C"/>
    <w:rsid w:val="000F5F2E"/>
    <w:rsid w:val="000F5FBE"/>
    <w:rsid w:val="000F6CFE"/>
    <w:rsid w:val="000F6E04"/>
    <w:rsid w:val="001007DF"/>
    <w:rsid w:val="00100E06"/>
    <w:rsid w:val="001036A3"/>
    <w:rsid w:val="001037C3"/>
    <w:rsid w:val="001037CA"/>
    <w:rsid w:val="00103B05"/>
    <w:rsid w:val="00103BA1"/>
    <w:rsid w:val="00104447"/>
    <w:rsid w:val="00105740"/>
    <w:rsid w:val="00105F6B"/>
    <w:rsid w:val="0010609E"/>
    <w:rsid w:val="001066EE"/>
    <w:rsid w:val="00106857"/>
    <w:rsid w:val="0010703F"/>
    <w:rsid w:val="0010716D"/>
    <w:rsid w:val="001076D5"/>
    <w:rsid w:val="00110890"/>
    <w:rsid w:val="001115A4"/>
    <w:rsid w:val="00112274"/>
    <w:rsid w:val="001122F4"/>
    <w:rsid w:val="00112BE0"/>
    <w:rsid w:val="001132B8"/>
    <w:rsid w:val="00115B01"/>
    <w:rsid w:val="00116463"/>
    <w:rsid w:val="0011655F"/>
    <w:rsid w:val="00116662"/>
    <w:rsid w:val="001175DE"/>
    <w:rsid w:val="00117892"/>
    <w:rsid w:val="00120B8F"/>
    <w:rsid w:val="00120FB7"/>
    <w:rsid w:val="00122F42"/>
    <w:rsid w:val="00123EAD"/>
    <w:rsid w:val="00123FC2"/>
    <w:rsid w:val="00124323"/>
    <w:rsid w:val="00124C43"/>
    <w:rsid w:val="00125655"/>
    <w:rsid w:val="001258FA"/>
    <w:rsid w:val="001259F4"/>
    <w:rsid w:val="00125A19"/>
    <w:rsid w:val="00125A2A"/>
    <w:rsid w:val="00125D39"/>
    <w:rsid w:val="001262CC"/>
    <w:rsid w:val="00126893"/>
    <w:rsid w:val="001268E8"/>
    <w:rsid w:val="00126E49"/>
    <w:rsid w:val="00127801"/>
    <w:rsid w:val="001279D1"/>
    <w:rsid w:val="00127D7E"/>
    <w:rsid w:val="00130CEB"/>
    <w:rsid w:val="001314E4"/>
    <w:rsid w:val="00131B3B"/>
    <w:rsid w:val="00131F7A"/>
    <w:rsid w:val="001341DC"/>
    <w:rsid w:val="00134FDB"/>
    <w:rsid w:val="00135831"/>
    <w:rsid w:val="001366E9"/>
    <w:rsid w:val="0013709F"/>
    <w:rsid w:val="001376BE"/>
    <w:rsid w:val="00137AC4"/>
    <w:rsid w:val="00137BA0"/>
    <w:rsid w:val="0014059F"/>
    <w:rsid w:val="001408FA"/>
    <w:rsid w:val="00141D1F"/>
    <w:rsid w:val="00142865"/>
    <w:rsid w:val="0014331E"/>
    <w:rsid w:val="0014353D"/>
    <w:rsid w:val="00144218"/>
    <w:rsid w:val="00144CD8"/>
    <w:rsid w:val="001456BF"/>
    <w:rsid w:val="0014594B"/>
    <w:rsid w:val="00145C53"/>
    <w:rsid w:val="00145D08"/>
    <w:rsid w:val="00145E04"/>
    <w:rsid w:val="00145E66"/>
    <w:rsid w:val="00146038"/>
    <w:rsid w:val="00146C44"/>
    <w:rsid w:val="00147627"/>
    <w:rsid w:val="00147BEC"/>
    <w:rsid w:val="001515E2"/>
    <w:rsid w:val="0015234C"/>
    <w:rsid w:val="0015260C"/>
    <w:rsid w:val="00152AD5"/>
    <w:rsid w:val="00153074"/>
    <w:rsid w:val="00153FCC"/>
    <w:rsid w:val="0015460C"/>
    <w:rsid w:val="001565A5"/>
    <w:rsid w:val="0015667A"/>
    <w:rsid w:val="00157666"/>
    <w:rsid w:val="00157A15"/>
    <w:rsid w:val="00157AFD"/>
    <w:rsid w:val="00160536"/>
    <w:rsid w:val="00160A78"/>
    <w:rsid w:val="00160D89"/>
    <w:rsid w:val="00161DE0"/>
    <w:rsid w:val="00161E3A"/>
    <w:rsid w:val="001637D3"/>
    <w:rsid w:val="001647AB"/>
    <w:rsid w:val="00164D63"/>
    <w:rsid w:val="001650A3"/>
    <w:rsid w:val="001652D2"/>
    <w:rsid w:val="001667EB"/>
    <w:rsid w:val="001669BD"/>
    <w:rsid w:val="00166D1A"/>
    <w:rsid w:val="0016778E"/>
    <w:rsid w:val="00167BD0"/>
    <w:rsid w:val="001709B0"/>
    <w:rsid w:val="00170D83"/>
    <w:rsid w:val="001714D5"/>
    <w:rsid w:val="00171CCF"/>
    <w:rsid w:val="00171D20"/>
    <w:rsid w:val="001721CD"/>
    <w:rsid w:val="00173D19"/>
    <w:rsid w:val="001750A2"/>
    <w:rsid w:val="00175B2E"/>
    <w:rsid w:val="00175EA4"/>
    <w:rsid w:val="00177AEF"/>
    <w:rsid w:val="00180106"/>
    <w:rsid w:val="001807BD"/>
    <w:rsid w:val="0018094E"/>
    <w:rsid w:val="001813EB"/>
    <w:rsid w:val="00183606"/>
    <w:rsid w:val="00183B45"/>
    <w:rsid w:val="001844C8"/>
    <w:rsid w:val="001846CF"/>
    <w:rsid w:val="0018471D"/>
    <w:rsid w:val="00185567"/>
    <w:rsid w:val="00185643"/>
    <w:rsid w:val="00185E4E"/>
    <w:rsid w:val="001864C6"/>
    <w:rsid w:val="001904CE"/>
    <w:rsid w:val="00190BB3"/>
    <w:rsid w:val="001910F8"/>
    <w:rsid w:val="00191B89"/>
    <w:rsid w:val="001923E8"/>
    <w:rsid w:val="0019256E"/>
    <w:rsid w:val="00192653"/>
    <w:rsid w:val="001928D2"/>
    <w:rsid w:val="0019305E"/>
    <w:rsid w:val="0019439A"/>
    <w:rsid w:val="00194C05"/>
    <w:rsid w:val="00194CD6"/>
    <w:rsid w:val="00194D58"/>
    <w:rsid w:val="00195926"/>
    <w:rsid w:val="00195FC4"/>
    <w:rsid w:val="001960C1"/>
    <w:rsid w:val="00196D97"/>
    <w:rsid w:val="001A0BA1"/>
    <w:rsid w:val="001A1088"/>
    <w:rsid w:val="001A12D7"/>
    <w:rsid w:val="001A1D0C"/>
    <w:rsid w:val="001A1F05"/>
    <w:rsid w:val="001A2A99"/>
    <w:rsid w:val="001A2A9A"/>
    <w:rsid w:val="001A302C"/>
    <w:rsid w:val="001A36C4"/>
    <w:rsid w:val="001A4458"/>
    <w:rsid w:val="001A4599"/>
    <w:rsid w:val="001A486C"/>
    <w:rsid w:val="001A4BC0"/>
    <w:rsid w:val="001A4C8B"/>
    <w:rsid w:val="001A4DAD"/>
    <w:rsid w:val="001A52B9"/>
    <w:rsid w:val="001A66ED"/>
    <w:rsid w:val="001A6EA6"/>
    <w:rsid w:val="001A77E5"/>
    <w:rsid w:val="001B01BD"/>
    <w:rsid w:val="001B0AAF"/>
    <w:rsid w:val="001B1986"/>
    <w:rsid w:val="001B2262"/>
    <w:rsid w:val="001B27A1"/>
    <w:rsid w:val="001B34B1"/>
    <w:rsid w:val="001B3817"/>
    <w:rsid w:val="001B394B"/>
    <w:rsid w:val="001B4007"/>
    <w:rsid w:val="001B48D5"/>
    <w:rsid w:val="001B4910"/>
    <w:rsid w:val="001B4E4B"/>
    <w:rsid w:val="001B5500"/>
    <w:rsid w:val="001B55D4"/>
    <w:rsid w:val="001B5C22"/>
    <w:rsid w:val="001B5D28"/>
    <w:rsid w:val="001B6581"/>
    <w:rsid w:val="001B6F2D"/>
    <w:rsid w:val="001B7020"/>
    <w:rsid w:val="001B778A"/>
    <w:rsid w:val="001C11F2"/>
    <w:rsid w:val="001C1917"/>
    <w:rsid w:val="001C1C21"/>
    <w:rsid w:val="001C208C"/>
    <w:rsid w:val="001C2AD2"/>
    <w:rsid w:val="001C328F"/>
    <w:rsid w:val="001C54A2"/>
    <w:rsid w:val="001C584F"/>
    <w:rsid w:val="001C5B03"/>
    <w:rsid w:val="001C5BE4"/>
    <w:rsid w:val="001C606A"/>
    <w:rsid w:val="001C6487"/>
    <w:rsid w:val="001C6908"/>
    <w:rsid w:val="001D00A9"/>
    <w:rsid w:val="001D0117"/>
    <w:rsid w:val="001D0378"/>
    <w:rsid w:val="001D0711"/>
    <w:rsid w:val="001D19DF"/>
    <w:rsid w:val="001D1ADA"/>
    <w:rsid w:val="001D1E84"/>
    <w:rsid w:val="001D1EBD"/>
    <w:rsid w:val="001D2633"/>
    <w:rsid w:val="001D2E56"/>
    <w:rsid w:val="001D2F4E"/>
    <w:rsid w:val="001D3360"/>
    <w:rsid w:val="001D3741"/>
    <w:rsid w:val="001D3B10"/>
    <w:rsid w:val="001D3D49"/>
    <w:rsid w:val="001D5390"/>
    <w:rsid w:val="001D552D"/>
    <w:rsid w:val="001D599D"/>
    <w:rsid w:val="001D62CB"/>
    <w:rsid w:val="001D6796"/>
    <w:rsid w:val="001D6C05"/>
    <w:rsid w:val="001D6F26"/>
    <w:rsid w:val="001D72CF"/>
    <w:rsid w:val="001D7859"/>
    <w:rsid w:val="001D7971"/>
    <w:rsid w:val="001D7E1B"/>
    <w:rsid w:val="001D7F11"/>
    <w:rsid w:val="001E076B"/>
    <w:rsid w:val="001E0851"/>
    <w:rsid w:val="001E0CAD"/>
    <w:rsid w:val="001E0EDA"/>
    <w:rsid w:val="001E122B"/>
    <w:rsid w:val="001E181F"/>
    <w:rsid w:val="001E29FB"/>
    <w:rsid w:val="001E2E9D"/>
    <w:rsid w:val="001E3112"/>
    <w:rsid w:val="001E3A55"/>
    <w:rsid w:val="001E45B6"/>
    <w:rsid w:val="001E4AF2"/>
    <w:rsid w:val="001E4FDE"/>
    <w:rsid w:val="001E53CF"/>
    <w:rsid w:val="001E58B0"/>
    <w:rsid w:val="001E6097"/>
    <w:rsid w:val="001E757E"/>
    <w:rsid w:val="001F09CB"/>
    <w:rsid w:val="001F0BA1"/>
    <w:rsid w:val="001F1A17"/>
    <w:rsid w:val="001F1B8C"/>
    <w:rsid w:val="001F1DAB"/>
    <w:rsid w:val="001F2091"/>
    <w:rsid w:val="001F20D9"/>
    <w:rsid w:val="001F23BA"/>
    <w:rsid w:val="001F28C7"/>
    <w:rsid w:val="001F2DCA"/>
    <w:rsid w:val="001F38A5"/>
    <w:rsid w:val="001F4790"/>
    <w:rsid w:val="001F4D29"/>
    <w:rsid w:val="001F4F1D"/>
    <w:rsid w:val="001F574F"/>
    <w:rsid w:val="001F72C1"/>
    <w:rsid w:val="001F7669"/>
    <w:rsid w:val="002001E5"/>
    <w:rsid w:val="002004CA"/>
    <w:rsid w:val="002019D9"/>
    <w:rsid w:val="00203396"/>
    <w:rsid w:val="00203DFB"/>
    <w:rsid w:val="00203E09"/>
    <w:rsid w:val="002042EC"/>
    <w:rsid w:val="00204B1C"/>
    <w:rsid w:val="00205CB4"/>
    <w:rsid w:val="00205CD3"/>
    <w:rsid w:val="00205D9B"/>
    <w:rsid w:val="0020618D"/>
    <w:rsid w:val="00206756"/>
    <w:rsid w:val="0021060B"/>
    <w:rsid w:val="00210B18"/>
    <w:rsid w:val="00210EB0"/>
    <w:rsid w:val="00211C3A"/>
    <w:rsid w:val="002121B9"/>
    <w:rsid w:val="0021260E"/>
    <w:rsid w:val="00213274"/>
    <w:rsid w:val="002135AD"/>
    <w:rsid w:val="002142A4"/>
    <w:rsid w:val="0021441A"/>
    <w:rsid w:val="00214D88"/>
    <w:rsid w:val="0021505A"/>
    <w:rsid w:val="002155B8"/>
    <w:rsid w:val="00215A6B"/>
    <w:rsid w:val="00215E22"/>
    <w:rsid w:val="002161A1"/>
    <w:rsid w:val="0021632A"/>
    <w:rsid w:val="0021636C"/>
    <w:rsid w:val="002163BC"/>
    <w:rsid w:val="00216A4D"/>
    <w:rsid w:val="00216B8E"/>
    <w:rsid w:val="0022061A"/>
    <w:rsid w:val="00220D8C"/>
    <w:rsid w:val="002211A4"/>
    <w:rsid w:val="0022244B"/>
    <w:rsid w:val="00223096"/>
    <w:rsid w:val="002230D6"/>
    <w:rsid w:val="00224090"/>
    <w:rsid w:val="00224756"/>
    <w:rsid w:val="00224B7F"/>
    <w:rsid w:val="00224BEA"/>
    <w:rsid w:val="00224C40"/>
    <w:rsid w:val="002266DD"/>
    <w:rsid w:val="002266FA"/>
    <w:rsid w:val="00226FE8"/>
    <w:rsid w:val="00230B30"/>
    <w:rsid w:val="00231C38"/>
    <w:rsid w:val="002328CE"/>
    <w:rsid w:val="00233ED8"/>
    <w:rsid w:val="0023459B"/>
    <w:rsid w:val="00234F59"/>
    <w:rsid w:val="00234FDE"/>
    <w:rsid w:val="00235842"/>
    <w:rsid w:val="00235A37"/>
    <w:rsid w:val="00235BFC"/>
    <w:rsid w:val="00236613"/>
    <w:rsid w:val="0023675D"/>
    <w:rsid w:val="002367D9"/>
    <w:rsid w:val="00237F96"/>
    <w:rsid w:val="00240E3B"/>
    <w:rsid w:val="00242262"/>
    <w:rsid w:val="00243424"/>
    <w:rsid w:val="0024428E"/>
    <w:rsid w:val="00244499"/>
    <w:rsid w:val="00244A60"/>
    <w:rsid w:val="00244ED5"/>
    <w:rsid w:val="00245723"/>
    <w:rsid w:val="00246089"/>
    <w:rsid w:val="00246728"/>
    <w:rsid w:val="00247C02"/>
    <w:rsid w:val="002502FB"/>
    <w:rsid w:val="00251081"/>
    <w:rsid w:val="00251359"/>
    <w:rsid w:val="00251412"/>
    <w:rsid w:val="00251808"/>
    <w:rsid w:val="00251C3F"/>
    <w:rsid w:val="00252415"/>
    <w:rsid w:val="00252B9E"/>
    <w:rsid w:val="00254106"/>
    <w:rsid w:val="00254EA7"/>
    <w:rsid w:val="00255172"/>
    <w:rsid w:val="00255271"/>
    <w:rsid w:val="00255406"/>
    <w:rsid w:val="00255511"/>
    <w:rsid w:val="0025563C"/>
    <w:rsid w:val="002560C5"/>
    <w:rsid w:val="00256583"/>
    <w:rsid w:val="00256E99"/>
    <w:rsid w:val="00256FF0"/>
    <w:rsid w:val="00257565"/>
    <w:rsid w:val="002602A1"/>
    <w:rsid w:val="00261018"/>
    <w:rsid w:val="00261166"/>
    <w:rsid w:val="00261F0F"/>
    <w:rsid w:val="0026272F"/>
    <w:rsid w:val="002632DD"/>
    <w:rsid w:val="00263C86"/>
    <w:rsid w:val="0026498D"/>
    <w:rsid w:val="002652F4"/>
    <w:rsid w:val="0026586B"/>
    <w:rsid w:val="00266BF0"/>
    <w:rsid w:val="002672A8"/>
    <w:rsid w:val="002677B7"/>
    <w:rsid w:val="0027039E"/>
    <w:rsid w:val="00270917"/>
    <w:rsid w:val="00270CF3"/>
    <w:rsid w:val="00271493"/>
    <w:rsid w:val="002715B0"/>
    <w:rsid w:val="0027193F"/>
    <w:rsid w:val="002719C5"/>
    <w:rsid w:val="00271AF1"/>
    <w:rsid w:val="00271DDB"/>
    <w:rsid w:val="002723DD"/>
    <w:rsid w:val="002732B5"/>
    <w:rsid w:val="002736D3"/>
    <w:rsid w:val="00273CDB"/>
    <w:rsid w:val="00273CF6"/>
    <w:rsid w:val="0027471E"/>
    <w:rsid w:val="00274881"/>
    <w:rsid w:val="002751D8"/>
    <w:rsid w:val="0027589E"/>
    <w:rsid w:val="00275A81"/>
    <w:rsid w:val="00275DD2"/>
    <w:rsid w:val="002761F0"/>
    <w:rsid w:val="00276993"/>
    <w:rsid w:val="002775DB"/>
    <w:rsid w:val="00280D6C"/>
    <w:rsid w:val="00281E18"/>
    <w:rsid w:val="00282A31"/>
    <w:rsid w:val="00283581"/>
    <w:rsid w:val="00283773"/>
    <w:rsid w:val="00283E20"/>
    <w:rsid w:val="00285AC3"/>
    <w:rsid w:val="00285DE3"/>
    <w:rsid w:val="00287A8B"/>
    <w:rsid w:val="00287D4A"/>
    <w:rsid w:val="00287E33"/>
    <w:rsid w:val="00290CB9"/>
    <w:rsid w:val="00290D61"/>
    <w:rsid w:val="00290EF5"/>
    <w:rsid w:val="00291B09"/>
    <w:rsid w:val="00291EB8"/>
    <w:rsid w:val="002921CA"/>
    <w:rsid w:val="002924FA"/>
    <w:rsid w:val="00292A56"/>
    <w:rsid w:val="00293572"/>
    <w:rsid w:val="00293E58"/>
    <w:rsid w:val="0029492F"/>
    <w:rsid w:val="002950E9"/>
    <w:rsid w:val="00295D1D"/>
    <w:rsid w:val="00297861"/>
    <w:rsid w:val="002A03AC"/>
    <w:rsid w:val="002A0916"/>
    <w:rsid w:val="002A1407"/>
    <w:rsid w:val="002A2691"/>
    <w:rsid w:val="002A2A57"/>
    <w:rsid w:val="002A2DF7"/>
    <w:rsid w:val="002A32F3"/>
    <w:rsid w:val="002A3671"/>
    <w:rsid w:val="002A3D8A"/>
    <w:rsid w:val="002A4658"/>
    <w:rsid w:val="002A5037"/>
    <w:rsid w:val="002A6470"/>
    <w:rsid w:val="002A6A3D"/>
    <w:rsid w:val="002A7957"/>
    <w:rsid w:val="002B0819"/>
    <w:rsid w:val="002B0EB2"/>
    <w:rsid w:val="002B1BC6"/>
    <w:rsid w:val="002B1D42"/>
    <w:rsid w:val="002B305C"/>
    <w:rsid w:val="002B3967"/>
    <w:rsid w:val="002B3CEE"/>
    <w:rsid w:val="002B3F72"/>
    <w:rsid w:val="002B5A93"/>
    <w:rsid w:val="002B5BEA"/>
    <w:rsid w:val="002B6A47"/>
    <w:rsid w:val="002C0497"/>
    <w:rsid w:val="002C1E16"/>
    <w:rsid w:val="002C32AF"/>
    <w:rsid w:val="002C35C0"/>
    <w:rsid w:val="002C55DF"/>
    <w:rsid w:val="002C7107"/>
    <w:rsid w:val="002C7878"/>
    <w:rsid w:val="002C78B3"/>
    <w:rsid w:val="002D02CC"/>
    <w:rsid w:val="002D0443"/>
    <w:rsid w:val="002D04E9"/>
    <w:rsid w:val="002D1309"/>
    <w:rsid w:val="002D143B"/>
    <w:rsid w:val="002D1B43"/>
    <w:rsid w:val="002D2047"/>
    <w:rsid w:val="002D2275"/>
    <w:rsid w:val="002D2744"/>
    <w:rsid w:val="002D3019"/>
    <w:rsid w:val="002D381C"/>
    <w:rsid w:val="002D3AB9"/>
    <w:rsid w:val="002D3DFB"/>
    <w:rsid w:val="002D5621"/>
    <w:rsid w:val="002D5952"/>
    <w:rsid w:val="002D69C1"/>
    <w:rsid w:val="002D6A92"/>
    <w:rsid w:val="002D78C8"/>
    <w:rsid w:val="002E0287"/>
    <w:rsid w:val="002E03B1"/>
    <w:rsid w:val="002E0710"/>
    <w:rsid w:val="002E0E65"/>
    <w:rsid w:val="002E1321"/>
    <w:rsid w:val="002E133A"/>
    <w:rsid w:val="002E19A7"/>
    <w:rsid w:val="002E1C78"/>
    <w:rsid w:val="002E439A"/>
    <w:rsid w:val="002E5A60"/>
    <w:rsid w:val="002E5D08"/>
    <w:rsid w:val="002E5E38"/>
    <w:rsid w:val="002E6DC5"/>
    <w:rsid w:val="002E7B80"/>
    <w:rsid w:val="002E7CB0"/>
    <w:rsid w:val="002E7CEA"/>
    <w:rsid w:val="002E7E2D"/>
    <w:rsid w:val="002E7E95"/>
    <w:rsid w:val="002F005A"/>
    <w:rsid w:val="002F1366"/>
    <w:rsid w:val="002F1471"/>
    <w:rsid w:val="002F1B20"/>
    <w:rsid w:val="002F3EE2"/>
    <w:rsid w:val="002F64A4"/>
    <w:rsid w:val="002F6BBD"/>
    <w:rsid w:val="002F768D"/>
    <w:rsid w:val="002F7B49"/>
    <w:rsid w:val="0030098F"/>
    <w:rsid w:val="003011E9"/>
    <w:rsid w:val="003023C4"/>
    <w:rsid w:val="00304549"/>
    <w:rsid w:val="003049B0"/>
    <w:rsid w:val="00305C9F"/>
    <w:rsid w:val="00306A41"/>
    <w:rsid w:val="003071BE"/>
    <w:rsid w:val="0030778E"/>
    <w:rsid w:val="003133BA"/>
    <w:rsid w:val="00313497"/>
    <w:rsid w:val="00313CCD"/>
    <w:rsid w:val="00314179"/>
    <w:rsid w:val="003144F7"/>
    <w:rsid w:val="00316EB3"/>
    <w:rsid w:val="0031708D"/>
    <w:rsid w:val="003177BB"/>
    <w:rsid w:val="00317C44"/>
    <w:rsid w:val="00317F74"/>
    <w:rsid w:val="003201C5"/>
    <w:rsid w:val="003208DB"/>
    <w:rsid w:val="003208F5"/>
    <w:rsid w:val="003212B4"/>
    <w:rsid w:val="00321D5F"/>
    <w:rsid w:val="00322AB3"/>
    <w:rsid w:val="003233C8"/>
    <w:rsid w:val="00323EC6"/>
    <w:rsid w:val="00324C2D"/>
    <w:rsid w:val="00324CC0"/>
    <w:rsid w:val="00324D0E"/>
    <w:rsid w:val="003250E7"/>
    <w:rsid w:val="00325C38"/>
    <w:rsid w:val="0032613C"/>
    <w:rsid w:val="003265BE"/>
    <w:rsid w:val="00326D09"/>
    <w:rsid w:val="00326F2C"/>
    <w:rsid w:val="00327EF6"/>
    <w:rsid w:val="003301DD"/>
    <w:rsid w:val="00331320"/>
    <w:rsid w:val="003313EB"/>
    <w:rsid w:val="00332F61"/>
    <w:rsid w:val="003338CB"/>
    <w:rsid w:val="003343AA"/>
    <w:rsid w:val="0033486D"/>
    <w:rsid w:val="00334942"/>
    <w:rsid w:val="00335256"/>
    <w:rsid w:val="00335B7B"/>
    <w:rsid w:val="00335FEA"/>
    <w:rsid w:val="00336252"/>
    <w:rsid w:val="0033656F"/>
    <w:rsid w:val="003368B5"/>
    <w:rsid w:val="00336F24"/>
    <w:rsid w:val="0034018F"/>
    <w:rsid w:val="00341613"/>
    <w:rsid w:val="00341892"/>
    <w:rsid w:val="00342D07"/>
    <w:rsid w:val="0034370B"/>
    <w:rsid w:val="00343B13"/>
    <w:rsid w:val="00345025"/>
    <w:rsid w:val="003453C2"/>
    <w:rsid w:val="00345AFD"/>
    <w:rsid w:val="00347A11"/>
    <w:rsid w:val="003505C9"/>
    <w:rsid w:val="003506DF"/>
    <w:rsid w:val="00350803"/>
    <w:rsid w:val="003508CE"/>
    <w:rsid w:val="003509B4"/>
    <w:rsid w:val="00350D85"/>
    <w:rsid w:val="0035265E"/>
    <w:rsid w:val="003526BF"/>
    <w:rsid w:val="00352F76"/>
    <w:rsid w:val="0035326B"/>
    <w:rsid w:val="00354783"/>
    <w:rsid w:val="003549E0"/>
    <w:rsid w:val="00355192"/>
    <w:rsid w:val="00355B6B"/>
    <w:rsid w:val="00355EE4"/>
    <w:rsid w:val="003577DA"/>
    <w:rsid w:val="00357E0B"/>
    <w:rsid w:val="0036002F"/>
    <w:rsid w:val="00361109"/>
    <w:rsid w:val="00361627"/>
    <w:rsid w:val="00361A96"/>
    <w:rsid w:val="00361E34"/>
    <w:rsid w:val="00361F1E"/>
    <w:rsid w:val="00362D96"/>
    <w:rsid w:val="00363DE9"/>
    <w:rsid w:val="00364D9E"/>
    <w:rsid w:val="00365171"/>
    <w:rsid w:val="003653E3"/>
    <w:rsid w:val="003654C2"/>
    <w:rsid w:val="00365999"/>
    <w:rsid w:val="003674B4"/>
    <w:rsid w:val="00367CE7"/>
    <w:rsid w:val="00367DA4"/>
    <w:rsid w:val="00371193"/>
    <w:rsid w:val="0037132E"/>
    <w:rsid w:val="00371352"/>
    <w:rsid w:val="003714C0"/>
    <w:rsid w:val="003717E9"/>
    <w:rsid w:val="0037183C"/>
    <w:rsid w:val="003721D1"/>
    <w:rsid w:val="00372DF5"/>
    <w:rsid w:val="00374D9F"/>
    <w:rsid w:val="00375402"/>
    <w:rsid w:val="003767F7"/>
    <w:rsid w:val="003774D3"/>
    <w:rsid w:val="003774FC"/>
    <w:rsid w:val="0037768D"/>
    <w:rsid w:val="00377BDB"/>
    <w:rsid w:val="003804BB"/>
    <w:rsid w:val="003808AA"/>
    <w:rsid w:val="00381A96"/>
    <w:rsid w:val="00382F8F"/>
    <w:rsid w:val="00383B43"/>
    <w:rsid w:val="0038458A"/>
    <w:rsid w:val="0038547C"/>
    <w:rsid w:val="00386158"/>
    <w:rsid w:val="003868D7"/>
    <w:rsid w:val="00386A76"/>
    <w:rsid w:val="00386EE3"/>
    <w:rsid w:val="00386FF5"/>
    <w:rsid w:val="00387980"/>
    <w:rsid w:val="00392340"/>
    <w:rsid w:val="003928C0"/>
    <w:rsid w:val="003929D6"/>
    <w:rsid w:val="00392F58"/>
    <w:rsid w:val="00392FC4"/>
    <w:rsid w:val="00393502"/>
    <w:rsid w:val="00393BB2"/>
    <w:rsid w:val="00395361"/>
    <w:rsid w:val="003954B6"/>
    <w:rsid w:val="00395573"/>
    <w:rsid w:val="00396073"/>
    <w:rsid w:val="00396BC0"/>
    <w:rsid w:val="00396E56"/>
    <w:rsid w:val="003A02D4"/>
    <w:rsid w:val="003A0C9C"/>
    <w:rsid w:val="003A3AD1"/>
    <w:rsid w:val="003A428F"/>
    <w:rsid w:val="003A4B83"/>
    <w:rsid w:val="003A4C76"/>
    <w:rsid w:val="003A5B5C"/>
    <w:rsid w:val="003A6A24"/>
    <w:rsid w:val="003A6D00"/>
    <w:rsid w:val="003A6D3C"/>
    <w:rsid w:val="003A7896"/>
    <w:rsid w:val="003A78E0"/>
    <w:rsid w:val="003A7F17"/>
    <w:rsid w:val="003B0D7A"/>
    <w:rsid w:val="003B0DA9"/>
    <w:rsid w:val="003B0DC5"/>
    <w:rsid w:val="003B0E94"/>
    <w:rsid w:val="003B172A"/>
    <w:rsid w:val="003B17A5"/>
    <w:rsid w:val="003B3041"/>
    <w:rsid w:val="003B36FB"/>
    <w:rsid w:val="003B54C8"/>
    <w:rsid w:val="003B5BA4"/>
    <w:rsid w:val="003B5BBF"/>
    <w:rsid w:val="003B68A1"/>
    <w:rsid w:val="003B6993"/>
    <w:rsid w:val="003B6AAB"/>
    <w:rsid w:val="003C0AF3"/>
    <w:rsid w:val="003C2213"/>
    <w:rsid w:val="003C3093"/>
    <w:rsid w:val="003C3D56"/>
    <w:rsid w:val="003C47AA"/>
    <w:rsid w:val="003C62B9"/>
    <w:rsid w:val="003C6390"/>
    <w:rsid w:val="003C640D"/>
    <w:rsid w:val="003C6677"/>
    <w:rsid w:val="003C747B"/>
    <w:rsid w:val="003C7A05"/>
    <w:rsid w:val="003D02F5"/>
    <w:rsid w:val="003D0B42"/>
    <w:rsid w:val="003D0C0C"/>
    <w:rsid w:val="003D17C3"/>
    <w:rsid w:val="003D2302"/>
    <w:rsid w:val="003D254C"/>
    <w:rsid w:val="003D2636"/>
    <w:rsid w:val="003D35AE"/>
    <w:rsid w:val="003D3966"/>
    <w:rsid w:val="003D3D4F"/>
    <w:rsid w:val="003D4036"/>
    <w:rsid w:val="003D4153"/>
    <w:rsid w:val="003D44D2"/>
    <w:rsid w:val="003D4C60"/>
    <w:rsid w:val="003D5615"/>
    <w:rsid w:val="003D5EF7"/>
    <w:rsid w:val="003D6AAB"/>
    <w:rsid w:val="003D7828"/>
    <w:rsid w:val="003E0652"/>
    <w:rsid w:val="003E0734"/>
    <w:rsid w:val="003E0BE7"/>
    <w:rsid w:val="003E1651"/>
    <w:rsid w:val="003E1E3A"/>
    <w:rsid w:val="003E27FE"/>
    <w:rsid w:val="003E312A"/>
    <w:rsid w:val="003E31AA"/>
    <w:rsid w:val="003E3C7A"/>
    <w:rsid w:val="003E3F70"/>
    <w:rsid w:val="003E4CBB"/>
    <w:rsid w:val="003E5C27"/>
    <w:rsid w:val="003E78B2"/>
    <w:rsid w:val="003E7AF5"/>
    <w:rsid w:val="003E7B0B"/>
    <w:rsid w:val="003E7F86"/>
    <w:rsid w:val="003F2FF7"/>
    <w:rsid w:val="003F32A6"/>
    <w:rsid w:val="003F35DF"/>
    <w:rsid w:val="003F3985"/>
    <w:rsid w:val="003F3DA4"/>
    <w:rsid w:val="003F4229"/>
    <w:rsid w:val="003F51C9"/>
    <w:rsid w:val="003F53A6"/>
    <w:rsid w:val="003F54E0"/>
    <w:rsid w:val="003F54F3"/>
    <w:rsid w:val="003F56AE"/>
    <w:rsid w:val="003F71A2"/>
    <w:rsid w:val="003F7F07"/>
    <w:rsid w:val="00400037"/>
    <w:rsid w:val="004009D1"/>
    <w:rsid w:val="00400AF4"/>
    <w:rsid w:val="0040156F"/>
    <w:rsid w:val="00401D1C"/>
    <w:rsid w:val="00401EEC"/>
    <w:rsid w:val="00402EE3"/>
    <w:rsid w:val="00402F3F"/>
    <w:rsid w:val="0040434E"/>
    <w:rsid w:val="00405476"/>
    <w:rsid w:val="00405F12"/>
    <w:rsid w:val="00406254"/>
    <w:rsid w:val="00406932"/>
    <w:rsid w:val="00406FBE"/>
    <w:rsid w:val="0040786A"/>
    <w:rsid w:val="00410732"/>
    <w:rsid w:val="004111AE"/>
    <w:rsid w:val="00411429"/>
    <w:rsid w:val="00411C4D"/>
    <w:rsid w:val="00412C33"/>
    <w:rsid w:val="00413E44"/>
    <w:rsid w:val="0041436F"/>
    <w:rsid w:val="00414A38"/>
    <w:rsid w:val="00414F0F"/>
    <w:rsid w:val="00415C60"/>
    <w:rsid w:val="00415FE1"/>
    <w:rsid w:val="00416FF5"/>
    <w:rsid w:val="0041718E"/>
    <w:rsid w:val="00417E94"/>
    <w:rsid w:val="0042035A"/>
    <w:rsid w:val="00421D3A"/>
    <w:rsid w:val="00423FF9"/>
    <w:rsid w:val="00425428"/>
    <w:rsid w:val="004255EE"/>
    <w:rsid w:val="00426B67"/>
    <w:rsid w:val="00427B3E"/>
    <w:rsid w:val="00430957"/>
    <w:rsid w:val="004312B9"/>
    <w:rsid w:val="00432540"/>
    <w:rsid w:val="00432D08"/>
    <w:rsid w:val="0043334F"/>
    <w:rsid w:val="00433478"/>
    <w:rsid w:val="004338F1"/>
    <w:rsid w:val="00433C42"/>
    <w:rsid w:val="004341C4"/>
    <w:rsid w:val="00434894"/>
    <w:rsid w:val="00437F06"/>
    <w:rsid w:val="00440A27"/>
    <w:rsid w:val="00440A7D"/>
    <w:rsid w:val="00440BA7"/>
    <w:rsid w:val="004412BB"/>
    <w:rsid w:val="0044135B"/>
    <w:rsid w:val="00441E18"/>
    <w:rsid w:val="00443DF9"/>
    <w:rsid w:val="004446BE"/>
    <w:rsid w:val="0044470A"/>
    <w:rsid w:val="00444C6A"/>
    <w:rsid w:val="00446150"/>
    <w:rsid w:val="0044683D"/>
    <w:rsid w:val="004468EC"/>
    <w:rsid w:val="00446DB8"/>
    <w:rsid w:val="004471FE"/>
    <w:rsid w:val="004476FF"/>
    <w:rsid w:val="00451E06"/>
    <w:rsid w:val="00452281"/>
    <w:rsid w:val="004523BA"/>
    <w:rsid w:val="004532BB"/>
    <w:rsid w:val="00453F5D"/>
    <w:rsid w:val="00453F96"/>
    <w:rsid w:val="004560A3"/>
    <w:rsid w:val="0046018A"/>
    <w:rsid w:val="004608E5"/>
    <w:rsid w:val="0046149E"/>
    <w:rsid w:val="004619A3"/>
    <w:rsid w:val="0046263E"/>
    <w:rsid w:val="00462E81"/>
    <w:rsid w:val="004631E6"/>
    <w:rsid w:val="00463304"/>
    <w:rsid w:val="0046373B"/>
    <w:rsid w:val="00463A52"/>
    <w:rsid w:val="00463A84"/>
    <w:rsid w:val="00463D34"/>
    <w:rsid w:val="00463DFF"/>
    <w:rsid w:val="0046483E"/>
    <w:rsid w:val="00464869"/>
    <w:rsid w:val="00464E49"/>
    <w:rsid w:val="00465989"/>
    <w:rsid w:val="00465A0C"/>
    <w:rsid w:val="00465C51"/>
    <w:rsid w:val="004660FB"/>
    <w:rsid w:val="00466FAB"/>
    <w:rsid w:val="004675A3"/>
    <w:rsid w:val="00470555"/>
    <w:rsid w:val="004723CD"/>
    <w:rsid w:val="00472AEE"/>
    <w:rsid w:val="00472DE9"/>
    <w:rsid w:val="004734BE"/>
    <w:rsid w:val="0047356E"/>
    <w:rsid w:val="00474294"/>
    <w:rsid w:val="00475259"/>
    <w:rsid w:val="00475BF8"/>
    <w:rsid w:val="0047676B"/>
    <w:rsid w:val="00480534"/>
    <w:rsid w:val="0048093E"/>
    <w:rsid w:val="00481892"/>
    <w:rsid w:val="00481B45"/>
    <w:rsid w:val="00481BDB"/>
    <w:rsid w:val="0048203B"/>
    <w:rsid w:val="00482F7F"/>
    <w:rsid w:val="004835F8"/>
    <w:rsid w:val="004835FB"/>
    <w:rsid w:val="00484252"/>
    <w:rsid w:val="004854CC"/>
    <w:rsid w:val="004855F4"/>
    <w:rsid w:val="00485957"/>
    <w:rsid w:val="00485F7E"/>
    <w:rsid w:val="00485FFE"/>
    <w:rsid w:val="0048609A"/>
    <w:rsid w:val="00486A9D"/>
    <w:rsid w:val="00486B4C"/>
    <w:rsid w:val="00487C42"/>
    <w:rsid w:val="00487FFC"/>
    <w:rsid w:val="00493E06"/>
    <w:rsid w:val="004942BA"/>
    <w:rsid w:val="004943D4"/>
    <w:rsid w:val="00494729"/>
    <w:rsid w:val="00494912"/>
    <w:rsid w:val="00494A84"/>
    <w:rsid w:val="00495F3E"/>
    <w:rsid w:val="0049668E"/>
    <w:rsid w:val="004968C5"/>
    <w:rsid w:val="00496B10"/>
    <w:rsid w:val="00496BF5"/>
    <w:rsid w:val="00497195"/>
    <w:rsid w:val="0049745C"/>
    <w:rsid w:val="004A0A8A"/>
    <w:rsid w:val="004A12D7"/>
    <w:rsid w:val="004A1317"/>
    <w:rsid w:val="004A2112"/>
    <w:rsid w:val="004A2639"/>
    <w:rsid w:val="004A3144"/>
    <w:rsid w:val="004A327B"/>
    <w:rsid w:val="004A4DBC"/>
    <w:rsid w:val="004A53D8"/>
    <w:rsid w:val="004A7A6C"/>
    <w:rsid w:val="004B04DA"/>
    <w:rsid w:val="004B2A01"/>
    <w:rsid w:val="004B362F"/>
    <w:rsid w:val="004B371D"/>
    <w:rsid w:val="004B4787"/>
    <w:rsid w:val="004B54BF"/>
    <w:rsid w:val="004B57C8"/>
    <w:rsid w:val="004B6A16"/>
    <w:rsid w:val="004B6CD1"/>
    <w:rsid w:val="004B7288"/>
    <w:rsid w:val="004B7C1E"/>
    <w:rsid w:val="004C0ED4"/>
    <w:rsid w:val="004C14CA"/>
    <w:rsid w:val="004C211C"/>
    <w:rsid w:val="004C2C37"/>
    <w:rsid w:val="004C314E"/>
    <w:rsid w:val="004C32C7"/>
    <w:rsid w:val="004C3A3E"/>
    <w:rsid w:val="004C490B"/>
    <w:rsid w:val="004C4B31"/>
    <w:rsid w:val="004C4CD5"/>
    <w:rsid w:val="004C4D79"/>
    <w:rsid w:val="004C5045"/>
    <w:rsid w:val="004C54BE"/>
    <w:rsid w:val="004C5600"/>
    <w:rsid w:val="004C5843"/>
    <w:rsid w:val="004C5B0D"/>
    <w:rsid w:val="004C5D9E"/>
    <w:rsid w:val="004D171E"/>
    <w:rsid w:val="004D1A61"/>
    <w:rsid w:val="004D1BB9"/>
    <w:rsid w:val="004D2CC8"/>
    <w:rsid w:val="004D387C"/>
    <w:rsid w:val="004D3EB4"/>
    <w:rsid w:val="004D4ACB"/>
    <w:rsid w:val="004D50DA"/>
    <w:rsid w:val="004D5E7A"/>
    <w:rsid w:val="004D61D3"/>
    <w:rsid w:val="004D678E"/>
    <w:rsid w:val="004D6C89"/>
    <w:rsid w:val="004D7E0C"/>
    <w:rsid w:val="004E0482"/>
    <w:rsid w:val="004E10AE"/>
    <w:rsid w:val="004E167A"/>
    <w:rsid w:val="004E1D23"/>
    <w:rsid w:val="004E209E"/>
    <w:rsid w:val="004E2222"/>
    <w:rsid w:val="004E26E2"/>
    <w:rsid w:val="004E2A52"/>
    <w:rsid w:val="004E2CEB"/>
    <w:rsid w:val="004E33A6"/>
    <w:rsid w:val="004E359F"/>
    <w:rsid w:val="004E37AA"/>
    <w:rsid w:val="004E37E7"/>
    <w:rsid w:val="004E385A"/>
    <w:rsid w:val="004E391D"/>
    <w:rsid w:val="004E41E5"/>
    <w:rsid w:val="004E4C4E"/>
    <w:rsid w:val="004E5BFE"/>
    <w:rsid w:val="004E6322"/>
    <w:rsid w:val="004E65ED"/>
    <w:rsid w:val="004E66A9"/>
    <w:rsid w:val="004E739C"/>
    <w:rsid w:val="004F0026"/>
    <w:rsid w:val="004F0E25"/>
    <w:rsid w:val="004F0F72"/>
    <w:rsid w:val="004F1296"/>
    <w:rsid w:val="004F146E"/>
    <w:rsid w:val="004F1B96"/>
    <w:rsid w:val="004F1D3D"/>
    <w:rsid w:val="004F2767"/>
    <w:rsid w:val="004F2DAD"/>
    <w:rsid w:val="004F3743"/>
    <w:rsid w:val="004F3A39"/>
    <w:rsid w:val="004F3E6F"/>
    <w:rsid w:val="004F4872"/>
    <w:rsid w:val="004F4892"/>
    <w:rsid w:val="004F71FC"/>
    <w:rsid w:val="004F74F5"/>
    <w:rsid w:val="004F78AB"/>
    <w:rsid w:val="005004A5"/>
    <w:rsid w:val="005028DD"/>
    <w:rsid w:val="00502EFF"/>
    <w:rsid w:val="005030C2"/>
    <w:rsid w:val="005034A0"/>
    <w:rsid w:val="00503E26"/>
    <w:rsid w:val="00504160"/>
    <w:rsid w:val="00504E90"/>
    <w:rsid w:val="0050575F"/>
    <w:rsid w:val="00505B54"/>
    <w:rsid w:val="00506A9D"/>
    <w:rsid w:val="0050720A"/>
    <w:rsid w:val="00507343"/>
    <w:rsid w:val="0050747A"/>
    <w:rsid w:val="00510294"/>
    <w:rsid w:val="005106CA"/>
    <w:rsid w:val="00511800"/>
    <w:rsid w:val="005118B1"/>
    <w:rsid w:val="00511C50"/>
    <w:rsid w:val="005125DB"/>
    <w:rsid w:val="00512C7E"/>
    <w:rsid w:val="00513054"/>
    <w:rsid w:val="00513D3A"/>
    <w:rsid w:val="00514763"/>
    <w:rsid w:val="00514824"/>
    <w:rsid w:val="005154B7"/>
    <w:rsid w:val="00517259"/>
    <w:rsid w:val="005208DC"/>
    <w:rsid w:val="00520B5D"/>
    <w:rsid w:val="005211B3"/>
    <w:rsid w:val="0052133C"/>
    <w:rsid w:val="0052166E"/>
    <w:rsid w:val="00522AA5"/>
    <w:rsid w:val="00522BE7"/>
    <w:rsid w:val="00522CF2"/>
    <w:rsid w:val="00523A52"/>
    <w:rsid w:val="00523F27"/>
    <w:rsid w:val="005244AC"/>
    <w:rsid w:val="00525B30"/>
    <w:rsid w:val="00526071"/>
    <w:rsid w:val="00526969"/>
    <w:rsid w:val="00526E99"/>
    <w:rsid w:val="00526F1C"/>
    <w:rsid w:val="0052711A"/>
    <w:rsid w:val="00530DA6"/>
    <w:rsid w:val="00531258"/>
    <w:rsid w:val="00533A38"/>
    <w:rsid w:val="005342B7"/>
    <w:rsid w:val="005347B1"/>
    <w:rsid w:val="00535C22"/>
    <w:rsid w:val="005374A1"/>
    <w:rsid w:val="00537A75"/>
    <w:rsid w:val="00537CCB"/>
    <w:rsid w:val="00540D4C"/>
    <w:rsid w:val="00541D4A"/>
    <w:rsid w:val="00542BAB"/>
    <w:rsid w:val="00542E20"/>
    <w:rsid w:val="00543527"/>
    <w:rsid w:val="00543540"/>
    <w:rsid w:val="00543BFA"/>
    <w:rsid w:val="00543F87"/>
    <w:rsid w:val="0054413B"/>
    <w:rsid w:val="00544731"/>
    <w:rsid w:val="00544D0C"/>
    <w:rsid w:val="00544D44"/>
    <w:rsid w:val="00544FF1"/>
    <w:rsid w:val="005453F8"/>
    <w:rsid w:val="00545A6F"/>
    <w:rsid w:val="0054682B"/>
    <w:rsid w:val="005468F8"/>
    <w:rsid w:val="00546A56"/>
    <w:rsid w:val="00547067"/>
    <w:rsid w:val="0054724C"/>
    <w:rsid w:val="00547815"/>
    <w:rsid w:val="00547D68"/>
    <w:rsid w:val="0055128E"/>
    <w:rsid w:val="00551652"/>
    <w:rsid w:val="00551DC4"/>
    <w:rsid w:val="00551ED7"/>
    <w:rsid w:val="00553096"/>
    <w:rsid w:val="005539E0"/>
    <w:rsid w:val="00554300"/>
    <w:rsid w:val="0055689E"/>
    <w:rsid w:val="00556A36"/>
    <w:rsid w:val="00560CA2"/>
    <w:rsid w:val="005617B5"/>
    <w:rsid w:val="00561FFA"/>
    <w:rsid w:val="005625BA"/>
    <w:rsid w:val="00562D1D"/>
    <w:rsid w:val="00565EB5"/>
    <w:rsid w:val="00566B78"/>
    <w:rsid w:val="00566F78"/>
    <w:rsid w:val="00567E0C"/>
    <w:rsid w:val="0057003E"/>
    <w:rsid w:val="005709D8"/>
    <w:rsid w:val="00572995"/>
    <w:rsid w:val="00572C08"/>
    <w:rsid w:val="005743EA"/>
    <w:rsid w:val="0057481F"/>
    <w:rsid w:val="0057559B"/>
    <w:rsid w:val="00576D1A"/>
    <w:rsid w:val="00576E29"/>
    <w:rsid w:val="005804D7"/>
    <w:rsid w:val="00580DFD"/>
    <w:rsid w:val="005811B3"/>
    <w:rsid w:val="0058135C"/>
    <w:rsid w:val="0058144C"/>
    <w:rsid w:val="00582817"/>
    <w:rsid w:val="00584362"/>
    <w:rsid w:val="00584AD0"/>
    <w:rsid w:val="005852E4"/>
    <w:rsid w:val="00585817"/>
    <w:rsid w:val="00585D25"/>
    <w:rsid w:val="005864A0"/>
    <w:rsid w:val="00586906"/>
    <w:rsid w:val="00586B01"/>
    <w:rsid w:val="005876B9"/>
    <w:rsid w:val="00591317"/>
    <w:rsid w:val="0059266B"/>
    <w:rsid w:val="00592987"/>
    <w:rsid w:val="005931C6"/>
    <w:rsid w:val="00593661"/>
    <w:rsid w:val="0059557E"/>
    <w:rsid w:val="00595DCB"/>
    <w:rsid w:val="00596B75"/>
    <w:rsid w:val="00596B99"/>
    <w:rsid w:val="0059731A"/>
    <w:rsid w:val="0059773B"/>
    <w:rsid w:val="005A0B78"/>
    <w:rsid w:val="005A0C79"/>
    <w:rsid w:val="005A14B8"/>
    <w:rsid w:val="005A1D00"/>
    <w:rsid w:val="005A21F9"/>
    <w:rsid w:val="005A238B"/>
    <w:rsid w:val="005A2FFE"/>
    <w:rsid w:val="005A301F"/>
    <w:rsid w:val="005A3335"/>
    <w:rsid w:val="005A3579"/>
    <w:rsid w:val="005A3609"/>
    <w:rsid w:val="005A400A"/>
    <w:rsid w:val="005A578A"/>
    <w:rsid w:val="005A79E1"/>
    <w:rsid w:val="005A7C18"/>
    <w:rsid w:val="005B0022"/>
    <w:rsid w:val="005B07B2"/>
    <w:rsid w:val="005B0D2D"/>
    <w:rsid w:val="005B1E18"/>
    <w:rsid w:val="005B1E5C"/>
    <w:rsid w:val="005B2767"/>
    <w:rsid w:val="005B2FC4"/>
    <w:rsid w:val="005B3AEC"/>
    <w:rsid w:val="005B425D"/>
    <w:rsid w:val="005B4A23"/>
    <w:rsid w:val="005B565E"/>
    <w:rsid w:val="005B732A"/>
    <w:rsid w:val="005C05AE"/>
    <w:rsid w:val="005C0D57"/>
    <w:rsid w:val="005C1453"/>
    <w:rsid w:val="005C20A4"/>
    <w:rsid w:val="005C23DD"/>
    <w:rsid w:val="005C25D2"/>
    <w:rsid w:val="005C357F"/>
    <w:rsid w:val="005C3D10"/>
    <w:rsid w:val="005C4260"/>
    <w:rsid w:val="005C4610"/>
    <w:rsid w:val="005C46EB"/>
    <w:rsid w:val="005C5173"/>
    <w:rsid w:val="005C59ED"/>
    <w:rsid w:val="005C5E88"/>
    <w:rsid w:val="005C661C"/>
    <w:rsid w:val="005C6822"/>
    <w:rsid w:val="005C6826"/>
    <w:rsid w:val="005C6A74"/>
    <w:rsid w:val="005C7235"/>
    <w:rsid w:val="005C7974"/>
    <w:rsid w:val="005D01DD"/>
    <w:rsid w:val="005D02DF"/>
    <w:rsid w:val="005D04FD"/>
    <w:rsid w:val="005D0A97"/>
    <w:rsid w:val="005D1458"/>
    <w:rsid w:val="005D17A8"/>
    <w:rsid w:val="005D192B"/>
    <w:rsid w:val="005D23EC"/>
    <w:rsid w:val="005D32A7"/>
    <w:rsid w:val="005D3360"/>
    <w:rsid w:val="005D3521"/>
    <w:rsid w:val="005D35EB"/>
    <w:rsid w:val="005D3C97"/>
    <w:rsid w:val="005D3FDA"/>
    <w:rsid w:val="005D41EA"/>
    <w:rsid w:val="005D4406"/>
    <w:rsid w:val="005D4932"/>
    <w:rsid w:val="005D55F7"/>
    <w:rsid w:val="005D5DC5"/>
    <w:rsid w:val="005D678F"/>
    <w:rsid w:val="005D6EA8"/>
    <w:rsid w:val="005D7E40"/>
    <w:rsid w:val="005E05F9"/>
    <w:rsid w:val="005E0786"/>
    <w:rsid w:val="005E0E7A"/>
    <w:rsid w:val="005E109D"/>
    <w:rsid w:val="005E16F3"/>
    <w:rsid w:val="005E1A44"/>
    <w:rsid w:val="005E1EF2"/>
    <w:rsid w:val="005E2AAD"/>
    <w:rsid w:val="005E3E8A"/>
    <w:rsid w:val="005E420C"/>
    <w:rsid w:val="005E486B"/>
    <w:rsid w:val="005E4CB4"/>
    <w:rsid w:val="005E4DCD"/>
    <w:rsid w:val="005E4E69"/>
    <w:rsid w:val="005E5471"/>
    <w:rsid w:val="005E7183"/>
    <w:rsid w:val="005F0085"/>
    <w:rsid w:val="005F0252"/>
    <w:rsid w:val="005F0EB2"/>
    <w:rsid w:val="005F0FB7"/>
    <w:rsid w:val="005F12DF"/>
    <w:rsid w:val="005F1B4C"/>
    <w:rsid w:val="005F1B76"/>
    <w:rsid w:val="005F1D97"/>
    <w:rsid w:val="005F1EA6"/>
    <w:rsid w:val="005F226C"/>
    <w:rsid w:val="005F2C59"/>
    <w:rsid w:val="005F431D"/>
    <w:rsid w:val="005F541F"/>
    <w:rsid w:val="005F5A7F"/>
    <w:rsid w:val="005F5E57"/>
    <w:rsid w:val="005F6FFB"/>
    <w:rsid w:val="005F7174"/>
    <w:rsid w:val="005F74A3"/>
    <w:rsid w:val="006016A1"/>
    <w:rsid w:val="00601918"/>
    <w:rsid w:val="00601BA2"/>
    <w:rsid w:val="00601F54"/>
    <w:rsid w:val="00602315"/>
    <w:rsid w:val="00602544"/>
    <w:rsid w:val="00602579"/>
    <w:rsid w:val="00602951"/>
    <w:rsid w:val="00602BC7"/>
    <w:rsid w:val="00603264"/>
    <w:rsid w:val="006032BC"/>
    <w:rsid w:val="00603718"/>
    <w:rsid w:val="00603C9B"/>
    <w:rsid w:val="00604027"/>
    <w:rsid w:val="0060465E"/>
    <w:rsid w:val="00604B07"/>
    <w:rsid w:val="00605178"/>
    <w:rsid w:val="00606063"/>
    <w:rsid w:val="00606B0E"/>
    <w:rsid w:val="00607B44"/>
    <w:rsid w:val="00610AF3"/>
    <w:rsid w:val="006119B0"/>
    <w:rsid w:val="006123A1"/>
    <w:rsid w:val="006128C8"/>
    <w:rsid w:val="00612A4A"/>
    <w:rsid w:val="0061310A"/>
    <w:rsid w:val="0061340B"/>
    <w:rsid w:val="006135CC"/>
    <w:rsid w:val="00613B09"/>
    <w:rsid w:val="006146AD"/>
    <w:rsid w:val="00615801"/>
    <w:rsid w:val="00615AC8"/>
    <w:rsid w:val="00615D21"/>
    <w:rsid w:val="00616DF6"/>
    <w:rsid w:val="00620447"/>
    <w:rsid w:val="006209A9"/>
    <w:rsid w:val="00621714"/>
    <w:rsid w:val="006228A1"/>
    <w:rsid w:val="00622EE4"/>
    <w:rsid w:val="00623EF7"/>
    <w:rsid w:val="00624565"/>
    <w:rsid w:val="00624B9C"/>
    <w:rsid w:val="0062545F"/>
    <w:rsid w:val="00625829"/>
    <w:rsid w:val="006259FE"/>
    <w:rsid w:val="006277A5"/>
    <w:rsid w:val="00627BD6"/>
    <w:rsid w:val="00627C46"/>
    <w:rsid w:val="00630183"/>
    <w:rsid w:val="0063027D"/>
    <w:rsid w:val="00631421"/>
    <w:rsid w:val="006323C3"/>
    <w:rsid w:val="0063241D"/>
    <w:rsid w:val="006329ED"/>
    <w:rsid w:val="00634245"/>
    <w:rsid w:val="0063530B"/>
    <w:rsid w:val="00635C8C"/>
    <w:rsid w:val="00635CAE"/>
    <w:rsid w:val="00635CCA"/>
    <w:rsid w:val="00637465"/>
    <w:rsid w:val="006379F3"/>
    <w:rsid w:val="00640A0D"/>
    <w:rsid w:val="00640E3A"/>
    <w:rsid w:val="00641EB3"/>
    <w:rsid w:val="00641F37"/>
    <w:rsid w:val="006425AD"/>
    <w:rsid w:val="00642742"/>
    <w:rsid w:val="00642EF1"/>
    <w:rsid w:val="00643CCA"/>
    <w:rsid w:val="00643ECD"/>
    <w:rsid w:val="00644F6B"/>
    <w:rsid w:val="006468A8"/>
    <w:rsid w:val="006471BA"/>
    <w:rsid w:val="00647844"/>
    <w:rsid w:val="00647F03"/>
    <w:rsid w:val="00647F7E"/>
    <w:rsid w:val="006500D3"/>
    <w:rsid w:val="006505BA"/>
    <w:rsid w:val="00650D1B"/>
    <w:rsid w:val="006513BD"/>
    <w:rsid w:val="006517E9"/>
    <w:rsid w:val="00652461"/>
    <w:rsid w:val="00653F41"/>
    <w:rsid w:val="00654A8A"/>
    <w:rsid w:val="00654F2E"/>
    <w:rsid w:val="00655CBA"/>
    <w:rsid w:val="00656D33"/>
    <w:rsid w:val="006573BA"/>
    <w:rsid w:val="00657686"/>
    <w:rsid w:val="00660EAC"/>
    <w:rsid w:val="0066274F"/>
    <w:rsid w:val="00663C24"/>
    <w:rsid w:val="006648D3"/>
    <w:rsid w:val="00666491"/>
    <w:rsid w:val="00666ABF"/>
    <w:rsid w:val="00667448"/>
    <w:rsid w:val="00667752"/>
    <w:rsid w:val="00667AB0"/>
    <w:rsid w:val="00671496"/>
    <w:rsid w:val="006716DA"/>
    <w:rsid w:val="00671ABC"/>
    <w:rsid w:val="00671BDD"/>
    <w:rsid w:val="00671E8E"/>
    <w:rsid w:val="00672EF2"/>
    <w:rsid w:val="00673CF8"/>
    <w:rsid w:val="0067496F"/>
    <w:rsid w:val="00674B3C"/>
    <w:rsid w:val="00675BF0"/>
    <w:rsid w:val="006778BA"/>
    <w:rsid w:val="006778DF"/>
    <w:rsid w:val="00677BBF"/>
    <w:rsid w:val="006811F4"/>
    <w:rsid w:val="00682E9A"/>
    <w:rsid w:val="00683FB8"/>
    <w:rsid w:val="006840E0"/>
    <w:rsid w:val="006843B9"/>
    <w:rsid w:val="006844A1"/>
    <w:rsid w:val="00684717"/>
    <w:rsid w:val="0068479A"/>
    <w:rsid w:val="00684892"/>
    <w:rsid w:val="006850DD"/>
    <w:rsid w:val="006855A1"/>
    <w:rsid w:val="006863F4"/>
    <w:rsid w:val="006866CB"/>
    <w:rsid w:val="00686B6E"/>
    <w:rsid w:val="00690467"/>
    <w:rsid w:val="00690639"/>
    <w:rsid w:val="00690D64"/>
    <w:rsid w:val="006917FF"/>
    <w:rsid w:val="00692A1F"/>
    <w:rsid w:val="00692D58"/>
    <w:rsid w:val="00692E4D"/>
    <w:rsid w:val="006937B3"/>
    <w:rsid w:val="00694310"/>
    <w:rsid w:val="006948EC"/>
    <w:rsid w:val="00695426"/>
    <w:rsid w:val="006955AD"/>
    <w:rsid w:val="0069656D"/>
    <w:rsid w:val="00696C25"/>
    <w:rsid w:val="00696C59"/>
    <w:rsid w:val="0069778F"/>
    <w:rsid w:val="006A1F09"/>
    <w:rsid w:val="006A25CB"/>
    <w:rsid w:val="006A25F3"/>
    <w:rsid w:val="006A2789"/>
    <w:rsid w:val="006A2F8A"/>
    <w:rsid w:val="006A3F77"/>
    <w:rsid w:val="006A4191"/>
    <w:rsid w:val="006A5D4C"/>
    <w:rsid w:val="006A653F"/>
    <w:rsid w:val="006A7398"/>
    <w:rsid w:val="006A7F07"/>
    <w:rsid w:val="006B0382"/>
    <w:rsid w:val="006B1531"/>
    <w:rsid w:val="006B1815"/>
    <w:rsid w:val="006B20B6"/>
    <w:rsid w:val="006B2C0D"/>
    <w:rsid w:val="006B30FF"/>
    <w:rsid w:val="006B38F4"/>
    <w:rsid w:val="006B3C43"/>
    <w:rsid w:val="006B4470"/>
    <w:rsid w:val="006B4557"/>
    <w:rsid w:val="006B4B16"/>
    <w:rsid w:val="006B5100"/>
    <w:rsid w:val="006B5B8B"/>
    <w:rsid w:val="006B68B1"/>
    <w:rsid w:val="006B6906"/>
    <w:rsid w:val="006B69AE"/>
    <w:rsid w:val="006B6C02"/>
    <w:rsid w:val="006C011F"/>
    <w:rsid w:val="006C1727"/>
    <w:rsid w:val="006C2EDA"/>
    <w:rsid w:val="006C3CEC"/>
    <w:rsid w:val="006C3E6D"/>
    <w:rsid w:val="006C437C"/>
    <w:rsid w:val="006C4C4F"/>
    <w:rsid w:val="006C4D7E"/>
    <w:rsid w:val="006C4F2E"/>
    <w:rsid w:val="006C75ED"/>
    <w:rsid w:val="006D01BF"/>
    <w:rsid w:val="006D07DE"/>
    <w:rsid w:val="006D0F79"/>
    <w:rsid w:val="006D2389"/>
    <w:rsid w:val="006D2709"/>
    <w:rsid w:val="006D2E38"/>
    <w:rsid w:val="006D3063"/>
    <w:rsid w:val="006D346B"/>
    <w:rsid w:val="006D3EBB"/>
    <w:rsid w:val="006D3EF0"/>
    <w:rsid w:val="006D53D4"/>
    <w:rsid w:val="006D5F0D"/>
    <w:rsid w:val="006D5F6E"/>
    <w:rsid w:val="006D607A"/>
    <w:rsid w:val="006D6A2D"/>
    <w:rsid w:val="006E00AA"/>
    <w:rsid w:val="006E0359"/>
    <w:rsid w:val="006E0C52"/>
    <w:rsid w:val="006E0F1B"/>
    <w:rsid w:val="006E141B"/>
    <w:rsid w:val="006E1F64"/>
    <w:rsid w:val="006E2792"/>
    <w:rsid w:val="006E301B"/>
    <w:rsid w:val="006E43D3"/>
    <w:rsid w:val="006E547E"/>
    <w:rsid w:val="006E59E4"/>
    <w:rsid w:val="006E7004"/>
    <w:rsid w:val="006E7A26"/>
    <w:rsid w:val="006E7D29"/>
    <w:rsid w:val="006F0403"/>
    <w:rsid w:val="006F136D"/>
    <w:rsid w:val="006F14AE"/>
    <w:rsid w:val="006F1F5B"/>
    <w:rsid w:val="006F3668"/>
    <w:rsid w:val="006F54D1"/>
    <w:rsid w:val="006F5BB9"/>
    <w:rsid w:val="006F659A"/>
    <w:rsid w:val="006F68CD"/>
    <w:rsid w:val="006F74C8"/>
    <w:rsid w:val="00700036"/>
    <w:rsid w:val="00700190"/>
    <w:rsid w:val="0070039E"/>
    <w:rsid w:val="007004DF"/>
    <w:rsid w:val="00700961"/>
    <w:rsid w:val="00701330"/>
    <w:rsid w:val="00701538"/>
    <w:rsid w:val="00701B91"/>
    <w:rsid w:val="00702EFE"/>
    <w:rsid w:val="00702FC5"/>
    <w:rsid w:val="00702FFE"/>
    <w:rsid w:val="0070321D"/>
    <w:rsid w:val="00703673"/>
    <w:rsid w:val="00703C4B"/>
    <w:rsid w:val="00703FF8"/>
    <w:rsid w:val="00704290"/>
    <w:rsid w:val="007047CD"/>
    <w:rsid w:val="00704904"/>
    <w:rsid w:val="007062A1"/>
    <w:rsid w:val="00706F00"/>
    <w:rsid w:val="00707421"/>
    <w:rsid w:val="00710573"/>
    <w:rsid w:val="007106D7"/>
    <w:rsid w:val="00711491"/>
    <w:rsid w:val="0071170E"/>
    <w:rsid w:val="007124B9"/>
    <w:rsid w:val="00712696"/>
    <w:rsid w:val="0071316E"/>
    <w:rsid w:val="00713730"/>
    <w:rsid w:val="00715BE1"/>
    <w:rsid w:val="00716874"/>
    <w:rsid w:val="00716B0E"/>
    <w:rsid w:val="00716B79"/>
    <w:rsid w:val="00717401"/>
    <w:rsid w:val="00717722"/>
    <w:rsid w:val="007204D6"/>
    <w:rsid w:val="007205AA"/>
    <w:rsid w:val="00720AF0"/>
    <w:rsid w:val="00721912"/>
    <w:rsid w:val="00723457"/>
    <w:rsid w:val="00723C12"/>
    <w:rsid w:val="007240E9"/>
    <w:rsid w:val="00725C53"/>
    <w:rsid w:val="00726056"/>
    <w:rsid w:val="00730948"/>
    <w:rsid w:val="00731473"/>
    <w:rsid w:val="00732363"/>
    <w:rsid w:val="0073249F"/>
    <w:rsid w:val="0073460B"/>
    <w:rsid w:val="0073555F"/>
    <w:rsid w:val="00735F42"/>
    <w:rsid w:val="00735FB8"/>
    <w:rsid w:val="00736EC9"/>
    <w:rsid w:val="00740EAE"/>
    <w:rsid w:val="00741F07"/>
    <w:rsid w:val="00741F9E"/>
    <w:rsid w:val="00742418"/>
    <w:rsid w:val="00742821"/>
    <w:rsid w:val="00743E2D"/>
    <w:rsid w:val="00743FCE"/>
    <w:rsid w:val="007446AB"/>
    <w:rsid w:val="007455CF"/>
    <w:rsid w:val="0074571C"/>
    <w:rsid w:val="00745F7B"/>
    <w:rsid w:val="00746554"/>
    <w:rsid w:val="0074700D"/>
    <w:rsid w:val="007479EE"/>
    <w:rsid w:val="00747B2C"/>
    <w:rsid w:val="00747BB3"/>
    <w:rsid w:val="00747E80"/>
    <w:rsid w:val="00747FA4"/>
    <w:rsid w:val="0075103F"/>
    <w:rsid w:val="007510CB"/>
    <w:rsid w:val="00751DEB"/>
    <w:rsid w:val="007540B8"/>
    <w:rsid w:val="00754116"/>
    <w:rsid w:val="00754824"/>
    <w:rsid w:val="00755067"/>
    <w:rsid w:val="00755471"/>
    <w:rsid w:val="00757A88"/>
    <w:rsid w:val="00761437"/>
    <w:rsid w:val="00762214"/>
    <w:rsid w:val="00763616"/>
    <w:rsid w:val="00763F9C"/>
    <w:rsid w:val="00764781"/>
    <w:rsid w:val="00764A37"/>
    <w:rsid w:val="00764E8E"/>
    <w:rsid w:val="0076711B"/>
    <w:rsid w:val="007718B8"/>
    <w:rsid w:val="00774172"/>
    <w:rsid w:val="007746F0"/>
    <w:rsid w:val="00774D6E"/>
    <w:rsid w:val="0077550D"/>
    <w:rsid w:val="00775A72"/>
    <w:rsid w:val="00775EC7"/>
    <w:rsid w:val="00776FF0"/>
    <w:rsid w:val="00780359"/>
    <w:rsid w:val="00780720"/>
    <w:rsid w:val="00780B14"/>
    <w:rsid w:val="00780DFE"/>
    <w:rsid w:val="007810E8"/>
    <w:rsid w:val="00781A99"/>
    <w:rsid w:val="00781BAC"/>
    <w:rsid w:val="0078218B"/>
    <w:rsid w:val="007821CA"/>
    <w:rsid w:val="007824B2"/>
    <w:rsid w:val="0078277D"/>
    <w:rsid w:val="00782D01"/>
    <w:rsid w:val="00785E00"/>
    <w:rsid w:val="0078645B"/>
    <w:rsid w:val="00786463"/>
    <w:rsid w:val="007869EF"/>
    <w:rsid w:val="00786EDD"/>
    <w:rsid w:val="00787C07"/>
    <w:rsid w:val="00787C20"/>
    <w:rsid w:val="00787C5D"/>
    <w:rsid w:val="00787EB7"/>
    <w:rsid w:val="00790009"/>
    <w:rsid w:val="00790C27"/>
    <w:rsid w:val="00790EAA"/>
    <w:rsid w:val="00791515"/>
    <w:rsid w:val="007917A0"/>
    <w:rsid w:val="00791D1A"/>
    <w:rsid w:val="00791F15"/>
    <w:rsid w:val="007926BE"/>
    <w:rsid w:val="00793264"/>
    <w:rsid w:val="0079382C"/>
    <w:rsid w:val="00793A58"/>
    <w:rsid w:val="00793F9F"/>
    <w:rsid w:val="00795718"/>
    <w:rsid w:val="00795FD6"/>
    <w:rsid w:val="00796960"/>
    <w:rsid w:val="007A01BD"/>
    <w:rsid w:val="007A0273"/>
    <w:rsid w:val="007A0580"/>
    <w:rsid w:val="007A1EAC"/>
    <w:rsid w:val="007A32CD"/>
    <w:rsid w:val="007A351C"/>
    <w:rsid w:val="007A5542"/>
    <w:rsid w:val="007A6607"/>
    <w:rsid w:val="007A758C"/>
    <w:rsid w:val="007A772E"/>
    <w:rsid w:val="007A77AA"/>
    <w:rsid w:val="007B0ECD"/>
    <w:rsid w:val="007B26D8"/>
    <w:rsid w:val="007B327A"/>
    <w:rsid w:val="007B3D55"/>
    <w:rsid w:val="007B63F4"/>
    <w:rsid w:val="007B66CC"/>
    <w:rsid w:val="007B7BB2"/>
    <w:rsid w:val="007C06DF"/>
    <w:rsid w:val="007C07C8"/>
    <w:rsid w:val="007C0E33"/>
    <w:rsid w:val="007C100F"/>
    <w:rsid w:val="007C1213"/>
    <w:rsid w:val="007C12E5"/>
    <w:rsid w:val="007C20B9"/>
    <w:rsid w:val="007C2295"/>
    <w:rsid w:val="007C23F2"/>
    <w:rsid w:val="007C2692"/>
    <w:rsid w:val="007C27A8"/>
    <w:rsid w:val="007C27EC"/>
    <w:rsid w:val="007C27F9"/>
    <w:rsid w:val="007C2D6A"/>
    <w:rsid w:val="007C379E"/>
    <w:rsid w:val="007C37EE"/>
    <w:rsid w:val="007C3D33"/>
    <w:rsid w:val="007C4682"/>
    <w:rsid w:val="007C52DB"/>
    <w:rsid w:val="007C52FD"/>
    <w:rsid w:val="007C5D63"/>
    <w:rsid w:val="007C71EB"/>
    <w:rsid w:val="007C75FF"/>
    <w:rsid w:val="007C78DA"/>
    <w:rsid w:val="007C7953"/>
    <w:rsid w:val="007C7A41"/>
    <w:rsid w:val="007D1297"/>
    <w:rsid w:val="007D1744"/>
    <w:rsid w:val="007D1D68"/>
    <w:rsid w:val="007D282D"/>
    <w:rsid w:val="007D303B"/>
    <w:rsid w:val="007D3D94"/>
    <w:rsid w:val="007D42C3"/>
    <w:rsid w:val="007D4412"/>
    <w:rsid w:val="007D5268"/>
    <w:rsid w:val="007D5649"/>
    <w:rsid w:val="007D689B"/>
    <w:rsid w:val="007D6940"/>
    <w:rsid w:val="007D6AF0"/>
    <w:rsid w:val="007D7BE0"/>
    <w:rsid w:val="007E0052"/>
    <w:rsid w:val="007E250E"/>
    <w:rsid w:val="007E2ADE"/>
    <w:rsid w:val="007E2F79"/>
    <w:rsid w:val="007E4734"/>
    <w:rsid w:val="007E4BDE"/>
    <w:rsid w:val="007E4CBE"/>
    <w:rsid w:val="007E5E9C"/>
    <w:rsid w:val="007E6693"/>
    <w:rsid w:val="007E68A5"/>
    <w:rsid w:val="007E6B0F"/>
    <w:rsid w:val="007E7963"/>
    <w:rsid w:val="007E7E71"/>
    <w:rsid w:val="007F0A2F"/>
    <w:rsid w:val="007F11BA"/>
    <w:rsid w:val="007F123E"/>
    <w:rsid w:val="007F270B"/>
    <w:rsid w:val="007F3046"/>
    <w:rsid w:val="007F381A"/>
    <w:rsid w:val="007F5576"/>
    <w:rsid w:val="007F5577"/>
    <w:rsid w:val="007F6184"/>
    <w:rsid w:val="007F722B"/>
    <w:rsid w:val="00800E04"/>
    <w:rsid w:val="00801B2C"/>
    <w:rsid w:val="00801D76"/>
    <w:rsid w:val="0080227B"/>
    <w:rsid w:val="00802347"/>
    <w:rsid w:val="0080299E"/>
    <w:rsid w:val="00802D68"/>
    <w:rsid w:val="00803424"/>
    <w:rsid w:val="008035A2"/>
    <w:rsid w:val="00804FAF"/>
    <w:rsid w:val="008057D0"/>
    <w:rsid w:val="0080604E"/>
    <w:rsid w:val="008060D8"/>
    <w:rsid w:val="00806487"/>
    <w:rsid w:val="00806F2D"/>
    <w:rsid w:val="008078D3"/>
    <w:rsid w:val="008079D6"/>
    <w:rsid w:val="00810A33"/>
    <w:rsid w:val="00810D3D"/>
    <w:rsid w:val="00812015"/>
    <w:rsid w:val="00814400"/>
    <w:rsid w:val="008161C8"/>
    <w:rsid w:val="008165AA"/>
    <w:rsid w:val="00817158"/>
    <w:rsid w:val="00817251"/>
    <w:rsid w:val="00817608"/>
    <w:rsid w:val="00820176"/>
    <w:rsid w:val="00821491"/>
    <w:rsid w:val="00821781"/>
    <w:rsid w:val="008218D4"/>
    <w:rsid w:val="008220F3"/>
    <w:rsid w:val="008223BF"/>
    <w:rsid w:val="00822E40"/>
    <w:rsid w:val="0082613F"/>
    <w:rsid w:val="00826B20"/>
    <w:rsid w:val="008273EE"/>
    <w:rsid w:val="0083024E"/>
    <w:rsid w:val="0083064C"/>
    <w:rsid w:val="00830676"/>
    <w:rsid w:val="00831438"/>
    <w:rsid w:val="0083145E"/>
    <w:rsid w:val="00831542"/>
    <w:rsid w:val="00831E15"/>
    <w:rsid w:val="00831F67"/>
    <w:rsid w:val="00831FB8"/>
    <w:rsid w:val="0083233A"/>
    <w:rsid w:val="00833118"/>
    <w:rsid w:val="00833714"/>
    <w:rsid w:val="00833E33"/>
    <w:rsid w:val="008347E8"/>
    <w:rsid w:val="0083495C"/>
    <w:rsid w:val="00834FA7"/>
    <w:rsid w:val="00835AE7"/>
    <w:rsid w:val="00836624"/>
    <w:rsid w:val="00836901"/>
    <w:rsid w:val="008374F9"/>
    <w:rsid w:val="008379B0"/>
    <w:rsid w:val="00837CE3"/>
    <w:rsid w:val="008401A4"/>
    <w:rsid w:val="00840FC5"/>
    <w:rsid w:val="0084171C"/>
    <w:rsid w:val="008430D0"/>
    <w:rsid w:val="00844128"/>
    <w:rsid w:val="00844843"/>
    <w:rsid w:val="008469C9"/>
    <w:rsid w:val="008474B6"/>
    <w:rsid w:val="00847E1F"/>
    <w:rsid w:val="008509C1"/>
    <w:rsid w:val="00850AB4"/>
    <w:rsid w:val="00850D1B"/>
    <w:rsid w:val="00851BDD"/>
    <w:rsid w:val="00851C8F"/>
    <w:rsid w:val="00852403"/>
    <w:rsid w:val="00852C4A"/>
    <w:rsid w:val="00854772"/>
    <w:rsid w:val="00854904"/>
    <w:rsid w:val="00855268"/>
    <w:rsid w:val="008556C1"/>
    <w:rsid w:val="008557E3"/>
    <w:rsid w:val="0085597F"/>
    <w:rsid w:val="00855EC1"/>
    <w:rsid w:val="00856850"/>
    <w:rsid w:val="00856F0C"/>
    <w:rsid w:val="00860861"/>
    <w:rsid w:val="008616EF"/>
    <w:rsid w:val="00861DFD"/>
    <w:rsid w:val="00862942"/>
    <w:rsid w:val="00862983"/>
    <w:rsid w:val="00862CA7"/>
    <w:rsid w:val="0086345C"/>
    <w:rsid w:val="008639BD"/>
    <w:rsid w:val="00863DA5"/>
    <w:rsid w:val="00863F87"/>
    <w:rsid w:val="00864868"/>
    <w:rsid w:val="00864DE9"/>
    <w:rsid w:val="0086501F"/>
    <w:rsid w:val="0086548F"/>
    <w:rsid w:val="00865A62"/>
    <w:rsid w:val="008671CF"/>
    <w:rsid w:val="0086734C"/>
    <w:rsid w:val="00867909"/>
    <w:rsid w:val="00867D91"/>
    <w:rsid w:val="00867F25"/>
    <w:rsid w:val="0087039D"/>
    <w:rsid w:val="008711DF"/>
    <w:rsid w:val="00871A14"/>
    <w:rsid w:val="00871DF5"/>
    <w:rsid w:val="00872E61"/>
    <w:rsid w:val="0087334F"/>
    <w:rsid w:val="0087427D"/>
    <w:rsid w:val="00874A99"/>
    <w:rsid w:val="008756DF"/>
    <w:rsid w:val="00875BFF"/>
    <w:rsid w:val="0087674F"/>
    <w:rsid w:val="00876E91"/>
    <w:rsid w:val="00876EB7"/>
    <w:rsid w:val="0087702D"/>
    <w:rsid w:val="00882378"/>
    <w:rsid w:val="008826FC"/>
    <w:rsid w:val="00883B8B"/>
    <w:rsid w:val="00884038"/>
    <w:rsid w:val="008843A7"/>
    <w:rsid w:val="00885827"/>
    <w:rsid w:val="008863C7"/>
    <w:rsid w:val="00886F4C"/>
    <w:rsid w:val="00887555"/>
    <w:rsid w:val="008875A6"/>
    <w:rsid w:val="0089117A"/>
    <w:rsid w:val="00891390"/>
    <w:rsid w:val="008913F6"/>
    <w:rsid w:val="008922A5"/>
    <w:rsid w:val="00892B16"/>
    <w:rsid w:val="0089358D"/>
    <w:rsid w:val="00893B12"/>
    <w:rsid w:val="00894908"/>
    <w:rsid w:val="00894A4B"/>
    <w:rsid w:val="00894A8D"/>
    <w:rsid w:val="00894E24"/>
    <w:rsid w:val="00894E96"/>
    <w:rsid w:val="00894FBF"/>
    <w:rsid w:val="00895A5E"/>
    <w:rsid w:val="008963E0"/>
    <w:rsid w:val="0089742F"/>
    <w:rsid w:val="00897659"/>
    <w:rsid w:val="008A0829"/>
    <w:rsid w:val="008A187B"/>
    <w:rsid w:val="008A22D8"/>
    <w:rsid w:val="008A2ABA"/>
    <w:rsid w:val="008A42A1"/>
    <w:rsid w:val="008A516E"/>
    <w:rsid w:val="008A6A61"/>
    <w:rsid w:val="008A6F4C"/>
    <w:rsid w:val="008A7263"/>
    <w:rsid w:val="008A72A3"/>
    <w:rsid w:val="008A7B5D"/>
    <w:rsid w:val="008A7CD8"/>
    <w:rsid w:val="008B01FD"/>
    <w:rsid w:val="008B1515"/>
    <w:rsid w:val="008B1CAD"/>
    <w:rsid w:val="008B27F9"/>
    <w:rsid w:val="008B32B1"/>
    <w:rsid w:val="008B3B25"/>
    <w:rsid w:val="008B4DCC"/>
    <w:rsid w:val="008B5342"/>
    <w:rsid w:val="008B55DA"/>
    <w:rsid w:val="008B5BC1"/>
    <w:rsid w:val="008B5C17"/>
    <w:rsid w:val="008B62FF"/>
    <w:rsid w:val="008B650E"/>
    <w:rsid w:val="008B6629"/>
    <w:rsid w:val="008B66C7"/>
    <w:rsid w:val="008B6B13"/>
    <w:rsid w:val="008B6D7F"/>
    <w:rsid w:val="008B795A"/>
    <w:rsid w:val="008C0579"/>
    <w:rsid w:val="008C1455"/>
    <w:rsid w:val="008C19B9"/>
    <w:rsid w:val="008C224D"/>
    <w:rsid w:val="008C2F4F"/>
    <w:rsid w:val="008C5340"/>
    <w:rsid w:val="008C63AE"/>
    <w:rsid w:val="008C6851"/>
    <w:rsid w:val="008C6AFA"/>
    <w:rsid w:val="008C6E71"/>
    <w:rsid w:val="008D0206"/>
    <w:rsid w:val="008D027B"/>
    <w:rsid w:val="008D03D5"/>
    <w:rsid w:val="008D05AB"/>
    <w:rsid w:val="008D066E"/>
    <w:rsid w:val="008D1B5D"/>
    <w:rsid w:val="008D1E40"/>
    <w:rsid w:val="008D21EE"/>
    <w:rsid w:val="008D55B5"/>
    <w:rsid w:val="008D5AFF"/>
    <w:rsid w:val="008E063F"/>
    <w:rsid w:val="008E0B00"/>
    <w:rsid w:val="008E0B3C"/>
    <w:rsid w:val="008E0D1A"/>
    <w:rsid w:val="008E10EE"/>
    <w:rsid w:val="008E164A"/>
    <w:rsid w:val="008E1FC9"/>
    <w:rsid w:val="008E220E"/>
    <w:rsid w:val="008E231E"/>
    <w:rsid w:val="008E4532"/>
    <w:rsid w:val="008E4DBD"/>
    <w:rsid w:val="008E50A5"/>
    <w:rsid w:val="008E5320"/>
    <w:rsid w:val="008E5E43"/>
    <w:rsid w:val="008E6772"/>
    <w:rsid w:val="008E6786"/>
    <w:rsid w:val="008E6BA6"/>
    <w:rsid w:val="008E6C18"/>
    <w:rsid w:val="008E6E01"/>
    <w:rsid w:val="008E79EF"/>
    <w:rsid w:val="008F1487"/>
    <w:rsid w:val="008F2A49"/>
    <w:rsid w:val="008F2E88"/>
    <w:rsid w:val="008F3181"/>
    <w:rsid w:val="008F3842"/>
    <w:rsid w:val="008F5545"/>
    <w:rsid w:val="008F6383"/>
    <w:rsid w:val="008F68A7"/>
    <w:rsid w:val="008F6EC2"/>
    <w:rsid w:val="008F7E8A"/>
    <w:rsid w:val="00900ACB"/>
    <w:rsid w:val="00901453"/>
    <w:rsid w:val="00901BFE"/>
    <w:rsid w:val="0090249F"/>
    <w:rsid w:val="009029B7"/>
    <w:rsid w:val="00902CCD"/>
    <w:rsid w:val="00903A36"/>
    <w:rsid w:val="00903EC4"/>
    <w:rsid w:val="009041B3"/>
    <w:rsid w:val="0090447F"/>
    <w:rsid w:val="00904874"/>
    <w:rsid w:val="009048F6"/>
    <w:rsid w:val="00904BCD"/>
    <w:rsid w:val="00905F64"/>
    <w:rsid w:val="00907049"/>
    <w:rsid w:val="009070A2"/>
    <w:rsid w:val="00907C12"/>
    <w:rsid w:val="009113B5"/>
    <w:rsid w:val="009131D4"/>
    <w:rsid w:val="009142E3"/>
    <w:rsid w:val="009151FD"/>
    <w:rsid w:val="009178A6"/>
    <w:rsid w:val="00917C3A"/>
    <w:rsid w:val="00920662"/>
    <w:rsid w:val="009211A2"/>
    <w:rsid w:val="009222CC"/>
    <w:rsid w:val="00925882"/>
    <w:rsid w:val="00926234"/>
    <w:rsid w:val="00926527"/>
    <w:rsid w:val="0092681D"/>
    <w:rsid w:val="009273CA"/>
    <w:rsid w:val="009304A1"/>
    <w:rsid w:val="009308C6"/>
    <w:rsid w:val="00930A50"/>
    <w:rsid w:val="00930E5A"/>
    <w:rsid w:val="00930F9E"/>
    <w:rsid w:val="0093111D"/>
    <w:rsid w:val="009318B9"/>
    <w:rsid w:val="009335CC"/>
    <w:rsid w:val="009338EB"/>
    <w:rsid w:val="00933F6C"/>
    <w:rsid w:val="00935144"/>
    <w:rsid w:val="00935467"/>
    <w:rsid w:val="009356EA"/>
    <w:rsid w:val="009363C4"/>
    <w:rsid w:val="0093676E"/>
    <w:rsid w:val="0093759F"/>
    <w:rsid w:val="00937DA9"/>
    <w:rsid w:val="00942383"/>
    <w:rsid w:val="0094283B"/>
    <w:rsid w:val="00942C17"/>
    <w:rsid w:val="00942E7B"/>
    <w:rsid w:val="00943D71"/>
    <w:rsid w:val="00943F73"/>
    <w:rsid w:val="00944532"/>
    <w:rsid w:val="009447F9"/>
    <w:rsid w:val="00944EBF"/>
    <w:rsid w:val="00944F11"/>
    <w:rsid w:val="00945030"/>
    <w:rsid w:val="009451AD"/>
    <w:rsid w:val="0094535D"/>
    <w:rsid w:val="00946842"/>
    <w:rsid w:val="00946981"/>
    <w:rsid w:val="00946CC0"/>
    <w:rsid w:val="00946F9F"/>
    <w:rsid w:val="0094754F"/>
    <w:rsid w:val="009500A0"/>
    <w:rsid w:val="0095074D"/>
    <w:rsid w:val="00951579"/>
    <w:rsid w:val="00951EF8"/>
    <w:rsid w:val="009522BB"/>
    <w:rsid w:val="009524AF"/>
    <w:rsid w:val="00952528"/>
    <w:rsid w:val="0095378C"/>
    <w:rsid w:val="00954B56"/>
    <w:rsid w:val="00955810"/>
    <w:rsid w:val="00955B1B"/>
    <w:rsid w:val="00955C8A"/>
    <w:rsid w:val="0095666C"/>
    <w:rsid w:val="00956C93"/>
    <w:rsid w:val="00957791"/>
    <w:rsid w:val="00957BDD"/>
    <w:rsid w:val="0096021E"/>
    <w:rsid w:val="009607D5"/>
    <w:rsid w:val="00960A71"/>
    <w:rsid w:val="00960FA0"/>
    <w:rsid w:val="00961091"/>
    <w:rsid w:val="009613E7"/>
    <w:rsid w:val="00961A8E"/>
    <w:rsid w:val="00961ED2"/>
    <w:rsid w:val="009640C9"/>
    <w:rsid w:val="009641E0"/>
    <w:rsid w:val="0096536C"/>
    <w:rsid w:val="00965D65"/>
    <w:rsid w:val="00966AA4"/>
    <w:rsid w:val="00967473"/>
    <w:rsid w:val="00970494"/>
    <w:rsid w:val="00970663"/>
    <w:rsid w:val="00970910"/>
    <w:rsid w:val="00970BD9"/>
    <w:rsid w:val="009712D3"/>
    <w:rsid w:val="009715FA"/>
    <w:rsid w:val="00971639"/>
    <w:rsid w:val="009717EC"/>
    <w:rsid w:val="00972351"/>
    <w:rsid w:val="0097257C"/>
    <w:rsid w:val="00973D3F"/>
    <w:rsid w:val="009743B5"/>
    <w:rsid w:val="009758E4"/>
    <w:rsid w:val="009762B1"/>
    <w:rsid w:val="009765CC"/>
    <w:rsid w:val="00976927"/>
    <w:rsid w:val="00976FF7"/>
    <w:rsid w:val="009774B8"/>
    <w:rsid w:val="00980125"/>
    <w:rsid w:val="009806C3"/>
    <w:rsid w:val="00981187"/>
    <w:rsid w:val="0098137E"/>
    <w:rsid w:val="00981508"/>
    <w:rsid w:val="0098162B"/>
    <w:rsid w:val="00982261"/>
    <w:rsid w:val="00982C0D"/>
    <w:rsid w:val="00983A2F"/>
    <w:rsid w:val="00984765"/>
    <w:rsid w:val="009847CE"/>
    <w:rsid w:val="00984B12"/>
    <w:rsid w:val="009853FE"/>
    <w:rsid w:val="00985F8D"/>
    <w:rsid w:val="009861E0"/>
    <w:rsid w:val="00986B37"/>
    <w:rsid w:val="00986D1F"/>
    <w:rsid w:val="0098713E"/>
    <w:rsid w:val="009877D3"/>
    <w:rsid w:val="00987979"/>
    <w:rsid w:val="00987F41"/>
    <w:rsid w:val="009903A6"/>
    <w:rsid w:val="00990B80"/>
    <w:rsid w:val="00990F61"/>
    <w:rsid w:val="00990FCA"/>
    <w:rsid w:val="00991348"/>
    <w:rsid w:val="009914E4"/>
    <w:rsid w:val="0099208A"/>
    <w:rsid w:val="009923C4"/>
    <w:rsid w:val="00992DF1"/>
    <w:rsid w:val="00993285"/>
    <w:rsid w:val="00993807"/>
    <w:rsid w:val="00993828"/>
    <w:rsid w:val="00993D25"/>
    <w:rsid w:val="009950C0"/>
    <w:rsid w:val="00996136"/>
    <w:rsid w:val="009962A9"/>
    <w:rsid w:val="0099632F"/>
    <w:rsid w:val="009967B1"/>
    <w:rsid w:val="00997E2D"/>
    <w:rsid w:val="009A0E5D"/>
    <w:rsid w:val="009A11B5"/>
    <w:rsid w:val="009A3588"/>
    <w:rsid w:val="009A3618"/>
    <w:rsid w:val="009A38BA"/>
    <w:rsid w:val="009A3911"/>
    <w:rsid w:val="009A5067"/>
    <w:rsid w:val="009A523F"/>
    <w:rsid w:val="009A5D84"/>
    <w:rsid w:val="009A5DBF"/>
    <w:rsid w:val="009A6B8A"/>
    <w:rsid w:val="009A6FB4"/>
    <w:rsid w:val="009A73B0"/>
    <w:rsid w:val="009A7649"/>
    <w:rsid w:val="009A7B2C"/>
    <w:rsid w:val="009B05C7"/>
    <w:rsid w:val="009B0CEF"/>
    <w:rsid w:val="009B137A"/>
    <w:rsid w:val="009B152E"/>
    <w:rsid w:val="009B1DC7"/>
    <w:rsid w:val="009B28F0"/>
    <w:rsid w:val="009B293C"/>
    <w:rsid w:val="009B2ABE"/>
    <w:rsid w:val="009B4686"/>
    <w:rsid w:val="009B50A4"/>
    <w:rsid w:val="009B5829"/>
    <w:rsid w:val="009B6164"/>
    <w:rsid w:val="009B70F4"/>
    <w:rsid w:val="009B7248"/>
    <w:rsid w:val="009B7275"/>
    <w:rsid w:val="009B7BC5"/>
    <w:rsid w:val="009C0736"/>
    <w:rsid w:val="009C11AD"/>
    <w:rsid w:val="009C1640"/>
    <w:rsid w:val="009C16A1"/>
    <w:rsid w:val="009C2E2D"/>
    <w:rsid w:val="009C32FA"/>
    <w:rsid w:val="009C3439"/>
    <w:rsid w:val="009C34A3"/>
    <w:rsid w:val="009C3B6F"/>
    <w:rsid w:val="009C3DD1"/>
    <w:rsid w:val="009C40CA"/>
    <w:rsid w:val="009C4178"/>
    <w:rsid w:val="009C51F8"/>
    <w:rsid w:val="009C532B"/>
    <w:rsid w:val="009C6E65"/>
    <w:rsid w:val="009C6F3C"/>
    <w:rsid w:val="009D00BC"/>
    <w:rsid w:val="009D05ED"/>
    <w:rsid w:val="009D06C2"/>
    <w:rsid w:val="009D0986"/>
    <w:rsid w:val="009D0D78"/>
    <w:rsid w:val="009D14D7"/>
    <w:rsid w:val="009D2875"/>
    <w:rsid w:val="009D2AFC"/>
    <w:rsid w:val="009D4133"/>
    <w:rsid w:val="009D46A1"/>
    <w:rsid w:val="009D5331"/>
    <w:rsid w:val="009D5610"/>
    <w:rsid w:val="009D6A6E"/>
    <w:rsid w:val="009D77D3"/>
    <w:rsid w:val="009D78D8"/>
    <w:rsid w:val="009D79C4"/>
    <w:rsid w:val="009D7B83"/>
    <w:rsid w:val="009D7B84"/>
    <w:rsid w:val="009E113A"/>
    <w:rsid w:val="009E19CC"/>
    <w:rsid w:val="009E26AC"/>
    <w:rsid w:val="009E2A88"/>
    <w:rsid w:val="009E3469"/>
    <w:rsid w:val="009E3AC0"/>
    <w:rsid w:val="009E3FC6"/>
    <w:rsid w:val="009E5249"/>
    <w:rsid w:val="009E5756"/>
    <w:rsid w:val="009E5D18"/>
    <w:rsid w:val="009E68A0"/>
    <w:rsid w:val="009E732D"/>
    <w:rsid w:val="009E7813"/>
    <w:rsid w:val="009E7A0F"/>
    <w:rsid w:val="009E7EC1"/>
    <w:rsid w:val="009F0423"/>
    <w:rsid w:val="009F10B8"/>
    <w:rsid w:val="009F1159"/>
    <w:rsid w:val="009F29E0"/>
    <w:rsid w:val="009F30D1"/>
    <w:rsid w:val="009F3822"/>
    <w:rsid w:val="009F3E40"/>
    <w:rsid w:val="009F48A5"/>
    <w:rsid w:val="009F604A"/>
    <w:rsid w:val="009F654A"/>
    <w:rsid w:val="009F6EE2"/>
    <w:rsid w:val="009F6F6B"/>
    <w:rsid w:val="009F7E30"/>
    <w:rsid w:val="009F7E3D"/>
    <w:rsid w:val="00A00B1D"/>
    <w:rsid w:val="00A011FA"/>
    <w:rsid w:val="00A0134A"/>
    <w:rsid w:val="00A014A7"/>
    <w:rsid w:val="00A015F5"/>
    <w:rsid w:val="00A0186B"/>
    <w:rsid w:val="00A02608"/>
    <w:rsid w:val="00A02C68"/>
    <w:rsid w:val="00A03808"/>
    <w:rsid w:val="00A03C96"/>
    <w:rsid w:val="00A048B5"/>
    <w:rsid w:val="00A04FC5"/>
    <w:rsid w:val="00A0509D"/>
    <w:rsid w:val="00A059B9"/>
    <w:rsid w:val="00A0624F"/>
    <w:rsid w:val="00A06897"/>
    <w:rsid w:val="00A10805"/>
    <w:rsid w:val="00A10F28"/>
    <w:rsid w:val="00A11857"/>
    <w:rsid w:val="00A123CA"/>
    <w:rsid w:val="00A12C0A"/>
    <w:rsid w:val="00A12EC8"/>
    <w:rsid w:val="00A13B01"/>
    <w:rsid w:val="00A1440B"/>
    <w:rsid w:val="00A14578"/>
    <w:rsid w:val="00A14684"/>
    <w:rsid w:val="00A14EB0"/>
    <w:rsid w:val="00A160CA"/>
    <w:rsid w:val="00A164BB"/>
    <w:rsid w:val="00A16AEE"/>
    <w:rsid w:val="00A177B0"/>
    <w:rsid w:val="00A1797F"/>
    <w:rsid w:val="00A17E01"/>
    <w:rsid w:val="00A20B44"/>
    <w:rsid w:val="00A21640"/>
    <w:rsid w:val="00A21F5A"/>
    <w:rsid w:val="00A221B3"/>
    <w:rsid w:val="00A22403"/>
    <w:rsid w:val="00A236B2"/>
    <w:rsid w:val="00A2468E"/>
    <w:rsid w:val="00A24F48"/>
    <w:rsid w:val="00A2624F"/>
    <w:rsid w:val="00A2686A"/>
    <w:rsid w:val="00A268B9"/>
    <w:rsid w:val="00A303DE"/>
    <w:rsid w:val="00A31EE7"/>
    <w:rsid w:val="00A3211D"/>
    <w:rsid w:val="00A32594"/>
    <w:rsid w:val="00A3351A"/>
    <w:rsid w:val="00A34938"/>
    <w:rsid w:val="00A35744"/>
    <w:rsid w:val="00A35CB8"/>
    <w:rsid w:val="00A369E6"/>
    <w:rsid w:val="00A3711A"/>
    <w:rsid w:val="00A37173"/>
    <w:rsid w:val="00A3770A"/>
    <w:rsid w:val="00A37749"/>
    <w:rsid w:val="00A40D2A"/>
    <w:rsid w:val="00A41C94"/>
    <w:rsid w:val="00A43192"/>
    <w:rsid w:val="00A44398"/>
    <w:rsid w:val="00A444C9"/>
    <w:rsid w:val="00A44A97"/>
    <w:rsid w:val="00A44E7F"/>
    <w:rsid w:val="00A46545"/>
    <w:rsid w:val="00A46652"/>
    <w:rsid w:val="00A46855"/>
    <w:rsid w:val="00A46F90"/>
    <w:rsid w:val="00A472CB"/>
    <w:rsid w:val="00A47B17"/>
    <w:rsid w:val="00A47F48"/>
    <w:rsid w:val="00A4BAC7"/>
    <w:rsid w:val="00A50B31"/>
    <w:rsid w:val="00A5123C"/>
    <w:rsid w:val="00A51771"/>
    <w:rsid w:val="00A5267F"/>
    <w:rsid w:val="00A53366"/>
    <w:rsid w:val="00A53BF1"/>
    <w:rsid w:val="00A54BF2"/>
    <w:rsid w:val="00A54F3A"/>
    <w:rsid w:val="00A55018"/>
    <w:rsid w:val="00A557E7"/>
    <w:rsid w:val="00A5668E"/>
    <w:rsid w:val="00A56848"/>
    <w:rsid w:val="00A5688E"/>
    <w:rsid w:val="00A56969"/>
    <w:rsid w:val="00A57E4B"/>
    <w:rsid w:val="00A60773"/>
    <w:rsid w:val="00A60A94"/>
    <w:rsid w:val="00A61208"/>
    <w:rsid w:val="00A61BF0"/>
    <w:rsid w:val="00A623A3"/>
    <w:rsid w:val="00A626AF"/>
    <w:rsid w:val="00A627F9"/>
    <w:rsid w:val="00A62B1A"/>
    <w:rsid w:val="00A631A1"/>
    <w:rsid w:val="00A63200"/>
    <w:rsid w:val="00A632E0"/>
    <w:rsid w:val="00A63AB9"/>
    <w:rsid w:val="00A63ADE"/>
    <w:rsid w:val="00A63E4F"/>
    <w:rsid w:val="00A64724"/>
    <w:rsid w:val="00A648AC"/>
    <w:rsid w:val="00A653FA"/>
    <w:rsid w:val="00A65760"/>
    <w:rsid w:val="00A65B16"/>
    <w:rsid w:val="00A65C68"/>
    <w:rsid w:val="00A66770"/>
    <w:rsid w:val="00A66927"/>
    <w:rsid w:val="00A67CD5"/>
    <w:rsid w:val="00A67E2D"/>
    <w:rsid w:val="00A70910"/>
    <w:rsid w:val="00A7138E"/>
    <w:rsid w:val="00A717EF"/>
    <w:rsid w:val="00A73A74"/>
    <w:rsid w:val="00A74321"/>
    <w:rsid w:val="00A757EB"/>
    <w:rsid w:val="00A75EA3"/>
    <w:rsid w:val="00A766DF"/>
    <w:rsid w:val="00A76B39"/>
    <w:rsid w:val="00A76CFB"/>
    <w:rsid w:val="00A775A7"/>
    <w:rsid w:val="00A77933"/>
    <w:rsid w:val="00A8023F"/>
    <w:rsid w:val="00A807D8"/>
    <w:rsid w:val="00A81025"/>
    <w:rsid w:val="00A8104B"/>
    <w:rsid w:val="00A81A42"/>
    <w:rsid w:val="00A82274"/>
    <w:rsid w:val="00A82F71"/>
    <w:rsid w:val="00A8342E"/>
    <w:rsid w:val="00A84D8F"/>
    <w:rsid w:val="00A8548C"/>
    <w:rsid w:val="00A8584B"/>
    <w:rsid w:val="00A86547"/>
    <w:rsid w:val="00A86966"/>
    <w:rsid w:val="00A90258"/>
    <w:rsid w:val="00A90799"/>
    <w:rsid w:val="00A92355"/>
    <w:rsid w:val="00A93B02"/>
    <w:rsid w:val="00A93E17"/>
    <w:rsid w:val="00A94A5C"/>
    <w:rsid w:val="00A9552C"/>
    <w:rsid w:val="00A97408"/>
    <w:rsid w:val="00AA00B7"/>
    <w:rsid w:val="00AA204B"/>
    <w:rsid w:val="00AA23F6"/>
    <w:rsid w:val="00AA2DF1"/>
    <w:rsid w:val="00AA373A"/>
    <w:rsid w:val="00AA5B42"/>
    <w:rsid w:val="00AA6B5E"/>
    <w:rsid w:val="00AA70ED"/>
    <w:rsid w:val="00AB0031"/>
    <w:rsid w:val="00AB0275"/>
    <w:rsid w:val="00AB02F3"/>
    <w:rsid w:val="00AB1307"/>
    <w:rsid w:val="00AB186B"/>
    <w:rsid w:val="00AB2538"/>
    <w:rsid w:val="00AB3D2C"/>
    <w:rsid w:val="00AB48C0"/>
    <w:rsid w:val="00AB5531"/>
    <w:rsid w:val="00AB598D"/>
    <w:rsid w:val="00AB6FE4"/>
    <w:rsid w:val="00AB78C2"/>
    <w:rsid w:val="00AC0388"/>
    <w:rsid w:val="00AC0517"/>
    <w:rsid w:val="00AC08D3"/>
    <w:rsid w:val="00AC098F"/>
    <w:rsid w:val="00AC0BF3"/>
    <w:rsid w:val="00AC14ED"/>
    <w:rsid w:val="00AC1DDE"/>
    <w:rsid w:val="00AC2B6E"/>
    <w:rsid w:val="00AC2E06"/>
    <w:rsid w:val="00AC35BD"/>
    <w:rsid w:val="00AC3F59"/>
    <w:rsid w:val="00AC48FB"/>
    <w:rsid w:val="00AC4909"/>
    <w:rsid w:val="00AC537D"/>
    <w:rsid w:val="00AC53A4"/>
    <w:rsid w:val="00AC7415"/>
    <w:rsid w:val="00AD0409"/>
    <w:rsid w:val="00AD0682"/>
    <w:rsid w:val="00AD06EB"/>
    <w:rsid w:val="00AD0E0B"/>
    <w:rsid w:val="00AD114D"/>
    <w:rsid w:val="00AD1365"/>
    <w:rsid w:val="00AD18BD"/>
    <w:rsid w:val="00AD1EDE"/>
    <w:rsid w:val="00AD27B5"/>
    <w:rsid w:val="00AD3034"/>
    <w:rsid w:val="00AD41C7"/>
    <w:rsid w:val="00AD4569"/>
    <w:rsid w:val="00AD4579"/>
    <w:rsid w:val="00AD4684"/>
    <w:rsid w:val="00AD4865"/>
    <w:rsid w:val="00AD6524"/>
    <w:rsid w:val="00AD702F"/>
    <w:rsid w:val="00AD76A3"/>
    <w:rsid w:val="00AD79FA"/>
    <w:rsid w:val="00AE02A1"/>
    <w:rsid w:val="00AE0D58"/>
    <w:rsid w:val="00AE24AB"/>
    <w:rsid w:val="00AE3227"/>
    <w:rsid w:val="00AE46BC"/>
    <w:rsid w:val="00AE479B"/>
    <w:rsid w:val="00AE4CAE"/>
    <w:rsid w:val="00AE5394"/>
    <w:rsid w:val="00AE6AF6"/>
    <w:rsid w:val="00AF08E8"/>
    <w:rsid w:val="00AF1945"/>
    <w:rsid w:val="00AF1AB7"/>
    <w:rsid w:val="00AF1B80"/>
    <w:rsid w:val="00AF1DB3"/>
    <w:rsid w:val="00AF2109"/>
    <w:rsid w:val="00AF2C74"/>
    <w:rsid w:val="00AF3C3B"/>
    <w:rsid w:val="00AF42B9"/>
    <w:rsid w:val="00AF4AD9"/>
    <w:rsid w:val="00AF51C5"/>
    <w:rsid w:val="00AF6036"/>
    <w:rsid w:val="00AF6060"/>
    <w:rsid w:val="00AF64AF"/>
    <w:rsid w:val="00B00262"/>
    <w:rsid w:val="00B0046A"/>
    <w:rsid w:val="00B012EF"/>
    <w:rsid w:val="00B01CA4"/>
    <w:rsid w:val="00B037B7"/>
    <w:rsid w:val="00B03EEB"/>
    <w:rsid w:val="00B04EE9"/>
    <w:rsid w:val="00B05318"/>
    <w:rsid w:val="00B055F5"/>
    <w:rsid w:val="00B07036"/>
    <w:rsid w:val="00B07D00"/>
    <w:rsid w:val="00B07FB9"/>
    <w:rsid w:val="00B10BCE"/>
    <w:rsid w:val="00B10F34"/>
    <w:rsid w:val="00B10FA8"/>
    <w:rsid w:val="00B110E7"/>
    <w:rsid w:val="00B114DB"/>
    <w:rsid w:val="00B11B04"/>
    <w:rsid w:val="00B14013"/>
    <w:rsid w:val="00B14260"/>
    <w:rsid w:val="00B14552"/>
    <w:rsid w:val="00B14F0C"/>
    <w:rsid w:val="00B151C0"/>
    <w:rsid w:val="00B1526A"/>
    <w:rsid w:val="00B153E4"/>
    <w:rsid w:val="00B16724"/>
    <w:rsid w:val="00B16D66"/>
    <w:rsid w:val="00B16FD0"/>
    <w:rsid w:val="00B2154D"/>
    <w:rsid w:val="00B2208B"/>
    <w:rsid w:val="00B23162"/>
    <w:rsid w:val="00B2594E"/>
    <w:rsid w:val="00B25D0C"/>
    <w:rsid w:val="00B2636A"/>
    <w:rsid w:val="00B26BD2"/>
    <w:rsid w:val="00B32185"/>
    <w:rsid w:val="00B33FC4"/>
    <w:rsid w:val="00B340EC"/>
    <w:rsid w:val="00B34658"/>
    <w:rsid w:val="00B35B8D"/>
    <w:rsid w:val="00B361E6"/>
    <w:rsid w:val="00B3703E"/>
    <w:rsid w:val="00B37058"/>
    <w:rsid w:val="00B3717E"/>
    <w:rsid w:val="00B37527"/>
    <w:rsid w:val="00B402F3"/>
    <w:rsid w:val="00B40462"/>
    <w:rsid w:val="00B405AD"/>
    <w:rsid w:val="00B40CB4"/>
    <w:rsid w:val="00B416D9"/>
    <w:rsid w:val="00B41884"/>
    <w:rsid w:val="00B41A1F"/>
    <w:rsid w:val="00B426C1"/>
    <w:rsid w:val="00B42E14"/>
    <w:rsid w:val="00B4460A"/>
    <w:rsid w:val="00B452C7"/>
    <w:rsid w:val="00B4552B"/>
    <w:rsid w:val="00B45922"/>
    <w:rsid w:val="00B46184"/>
    <w:rsid w:val="00B46662"/>
    <w:rsid w:val="00B46ECB"/>
    <w:rsid w:val="00B47197"/>
    <w:rsid w:val="00B478F1"/>
    <w:rsid w:val="00B47BC8"/>
    <w:rsid w:val="00B47CBC"/>
    <w:rsid w:val="00B50005"/>
    <w:rsid w:val="00B501AD"/>
    <w:rsid w:val="00B5020A"/>
    <w:rsid w:val="00B504DA"/>
    <w:rsid w:val="00B50769"/>
    <w:rsid w:val="00B5099E"/>
    <w:rsid w:val="00B51982"/>
    <w:rsid w:val="00B5209D"/>
    <w:rsid w:val="00B52266"/>
    <w:rsid w:val="00B52696"/>
    <w:rsid w:val="00B526EF"/>
    <w:rsid w:val="00B5294E"/>
    <w:rsid w:val="00B53265"/>
    <w:rsid w:val="00B549C4"/>
    <w:rsid w:val="00B54A60"/>
    <w:rsid w:val="00B55218"/>
    <w:rsid w:val="00B55838"/>
    <w:rsid w:val="00B5672F"/>
    <w:rsid w:val="00B60279"/>
    <w:rsid w:val="00B60397"/>
    <w:rsid w:val="00B607F6"/>
    <w:rsid w:val="00B61671"/>
    <w:rsid w:val="00B619EA"/>
    <w:rsid w:val="00B6201F"/>
    <w:rsid w:val="00B626BB"/>
    <w:rsid w:val="00B62D4F"/>
    <w:rsid w:val="00B6303C"/>
    <w:rsid w:val="00B63AC0"/>
    <w:rsid w:val="00B63B7E"/>
    <w:rsid w:val="00B64767"/>
    <w:rsid w:val="00B64889"/>
    <w:rsid w:val="00B66213"/>
    <w:rsid w:val="00B664F3"/>
    <w:rsid w:val="00B666E8"/>
    <w:rsid w:val="00B67EED"/>
    <w:rsid w:val="00B70C5C"/>
    <w:rsid w:val="00B710E4"/>
    <w:rsid w:val="00B71696"/>
    <w:rsid w:val="00B71A08"/>
    <w:rsid w:val="00B71E32"/>
    <w:rsid w:val="00B72168"/>
    <w:rsid w:val="00B72BCB"/>
    <w:rsid w:val="00B73599"/>
    <w:rsid w:val="00B7387E"/>
    <w:rsid w:val="00B7479F"/>
    <w:rsid w:val="00B7481E"/>
    <w:rsid w:val="00B76A93"/>
    <w:rsid w:val="00B76A9B"/>
    <w:rsid w:val="00B76F0F"/>
    <w:rsid w:val="00B77B1B"/>
    <w:rsid w:val="00B77B55"/>
    <w:rsid w:val="00B825D6"/>
    <w:rsid w:val="00B82B3F"/>
    <w:rsid w:val="00B831D9"/>
    <w:rsid w:val="00B8324B"/>
    <w:rsid w:val="00B832C0"/>
    <w:rsid w:val="00B835E7"/>
    <w:rsid w:val="00B844A4"/>
    <w:rsid w:val="00B8470A"/>
    <w:rsid w:val="00B8482A"/>
    <w:rsid w:val="00B84C2D"/>
    <w:rsid w:val="00B854A6"/>
    <w:rsid w:val="00B8655B"/>
    <w:rsid w:val="00B867DC"/>
    <w:rsid w:val="00B87255"/>
    <w:rsid w:val="00B91982"/>
    <w:rsid w:val="00B91C91"/>
    <w:rsid w:val="00B92221"/>
    <w:rsid w:val="00B92BD1"/>
    <w:rsid w:val="00B9380C"/>
    <w:rsid w:val="00B940A2"/>
    <w:rsid w:val="00B94416"/>
    <w:rsid w:val="00B94C51"/>
    <w:rsid w:val="00B9508F"/>
    <w:rsid w:val="00B950DD"/>
    <w:rsid w:val="00B95547"/>
    <w:rsid w:val="00B95A17"/>
    <w:rsid w:val="00B95A69"/>
    <w:rsid w:val="00B95BD1"/>
    <w:rsid w:val="00B9626E"/>
    <w:rsid w:val="00B965F7"/>
    <w:rsid w:val="00B97534"/>
    <w:rsid w:val="00B97C9F"/>
    <w:rsid w:val="00BA02BA"/>
    <w:rsid w:val="00BA1DA3"/>
    <w:rsid w:val="00BA1F8F"/>
    <w:rsid w:val="00BA2374"/>
    <w:rsid w:val="00BA2524"/>
    <w:rsid w:val="00BA3552"/>
    <w:rsid w:val="00BA38A8"/>
    <w:rsid w:val="00BA3C08"/>
    <w:rsid w:val="00BA4C5A"/>
    <w:rsid w:val="00BA513F"/>
    <w:rsid w:val="00BA598D"/>
    <w:rsid w:val="00BA6E8E"/>
    <w:rsid w:val="00BA74B6"/>
    <w:rsid w:val="00BA7573"/>
    <w:rsid w:val="00BA7733"/>
    <w:rsid w:val="00BA7785"/>
    <w:rsid w:val="00BA7984"/>
    <w:rsid w:val="00BA7D70"/>
    <w:rsid w:val="00BB03BE"/>
    <w:rsid w:val="00BB063A"/>
    <w:rsid w:val="00BB08DB"/>
    <w:rsid w:val="00BB1476"/>
    <w:rsid w:val="00BB1BAC"/>
    <w:rsid w:val="00BB1C40"/>
    <w:rsid w:val="00BB3B3A"/>
    <w:rsid w:val="00BB3E50"/>
    <w:rsid w:val="00BB41E3"/>
    <w:rsid w:val="00BB427D"/>
    <w:rsid w:val="00BB513A"/>
    <w:rsid w:val="00BB5685"/>
    <w:rsid w:val="00BB5CFF"/>
    <w:rsid w:val="00BC0181"/>
    <w:rsid w:val="00BC14A8"/>
    <w:rsid w:val="00BC1CCE"/>
    <w:rsid w:val="00BC2689"/>
    <w:rsid w:val="00BC303E"/>
    <w:rsid w:val="00BC34A7"/>
    <w:rsid w:val="00BC34ED"/>
    <w:rsid w:val="00BC353D"/>
    <w:rsid w:val="00BC35A0"/>
    <w:rsid w:val="00BC3681"/>
    <w:rsid w:val="00BC39D4"/>
    <w:rsid w:val="00BC3C7D"/>
    <w:rsid w:val="00BC3CB9"/>
    <w:rsid w:val="00BC4A59"/>
    <w:rsid w:val="00BC4E8E"/>
    <w:rsid w:val="00BC5DA0"/>
    <w:rsid w:val="00BC6171"/>
    <w:rsid w:val="00BC73D7"/>
    <w:rsid w:val="00BC7B0E"/>
    <w:rsid w:val="00BC7B47"/>
    <w:rsid w:val="00BD147C"/>
    <w:rsid w:val="00BD1F7C"/>
    <w:rsid w:val="00BD20D6"/>
    <w:rsid w:val="00BD2A06"/>
    <w:rsid w:val="00BD4536"/>
    <w:rsid w:val="00BD4B03"/>
    <w:rsid w:val="00BD4B0A"/>
    <w:rsid w:val="00BD55F8"/>
    <w:rsid w:val="00BD5727"/>
    <w:rsid w:val="00BD5F54"/>
    <w:rsid w:val="00BD6286"/>
    <w:rsid w:val="00BD76F5"/>
    <w:rsid w:val="00BD7C9F"/>
    <w:rsid w:val="00BE34FE"/>
    <w:rsid w:val="00BE401E"/>
    <w:rsid w:val="00BE497E"/>
    <w:rsid w:val="00BE5EAD"/>
    <w:rsid w:val="00BE6D33"/>
    <w:rsid w:val="00BE7098"/>
    <w:rsid w:val="00BE70C6"/>
    <w:rsid w:val="00BE7B72"/>
    <w:rsid w:val="00BF0AF0"/>
    <w:rsid w:val="00BF0E5C"/>
    <w:rsid w:val="00BF2365"/>
    <w:rsid w:val="00BF29D9"/>
    <w:rsid w:val="00BF2FA8"/>
    <w:rsid w:val="00BF46F4"/>
    <w:rsid w:val="00BF4BD4"/>
    <w:rsid w:val="00BF5D08"/>
    <w:rsid w:val="00BF6287"/>
    <w:rsid w:val="00BF6649"/>
    <w:rsid w:val="00BF7ABC"/>
    <w:rsid w:val="00BF7CD1"/>
    <w:rsid w:val="00C0003C"/>
    <w:rsid w:val="00C01004"/>
    <w:rsid w:val="00C01200"/>
    <w:rsid w:val="00C014AB"/>
    <w:rsid w:val="00C0216D"/>
    <w:rsid w:val="00C0229C"/>
    <w:rsid w:val="00C02B6C"/>
    <w:rsid w:val="00C02DBD"/>
    <w:rsid w:val="00C03558"/>
    <w:rsid w:val="00C036DC"/>
    <w:rsid w:val="00C03752"/>
    <w:rsid w:val="00C037AB"/>
    <w:rsid w:val="00C03D8B"/>
    <w:rsid w:val="00C04031"/>
    <w:rsid w:val="00C0534E"/>
    <w:rsid w:val="00C05901"/>
    <w:rsid w:val="00C060BD"/>
    <w:rsid w:val="00C10AA7"/>
    <w:rsid w:val="00C132D3"/>
    <w:rsid w:val="00C1489B"/>
    <w:rsid w:val="00C15D99"/>
    <w:rsid w:val="00C161BB"/>
    <w:rsid w:val="00C166F5"/>
    <w:rsid w:val="00C1700A"/>
    <w:rsid w:val="00C1763C"/>
    <w:rsid w:val="00C17668"/>
    <w:rsid w:val="00C21E2B"/>
    <w:rsid w:val="00C2245C"/>
    <w:rsid w:val="00C23061"/>
    <w:rsid w:val="00C2336C"/>
    <w:rsid w:val="00C23387"/>
    <w:rsid w:val="00C235E6"/>
    <w:rsid w:val="00C236A2"/>
    <w:rsid w:val="00C23BD2"/>
    <w:rsid w:val="00C24049"/>
    <w:rsid w:val="00C24670"/>
    <w:rsid w:val="00C249E1"/>
    <w:rsid w:val="00C265DF"/>
    <w:rsid w:val="00C27532"/>
    <w:rsid w:val="00C27B91"/>
    <w:rsid w:val="00C27CB6"/>
    <w:rsid w:val="00C300D8"/>
    <w:rsid w:val="00C30741"/>
    <w:rsid w:val="00C30B07"/>
    <w:rsid w:val="00C30CB7"/>
    <w:rsid w:val="00C3213A"/>
    <w:rsid w:val="00C33E0B"/>
    <w:rsid w:val="00C349B2"/>
    <w:rsid w:val="00C34A58"/>
    <w:rsid w:val="00C34D0D"/>
    <w:rsid w:val="00C36468"/>
    <w:rsid w:val="00C4098E"/>
    <w:rsid w:val="00C40B0A"/>
    <w:rsid w:val="00C40EA1"/>
    <w:rsid w:val="00C419D2"/>
    <w:rsid w:val="00C4255C"/>
    <w:rsid w:val="00C42658"/>
    <w:rsid w:val="00C43829"/>
    <w:rsid w:val="00C43992"/>
    <w:rsid w:val="00C44246"/>
    <w:rsid w:val="00C444C3"/>
    <w:rsid w:val="00C44FB3"/>
    <w:rsid w:val="00C46BAA"/>
    <w:rsid w:val="00C47DE4"/>
    <w:rsid w:val="00C52255"/>
    <w:rsid w:val="00C52551"/>
    <w:rsid w:val="00C52A6C"/>
    <w:rsid w:val="00C52AC2"/>
    <w:rsid w:val="00C53087"/>
    <w:rsid w:val="00C5327E"/>
    <w:rsid w:val="00C536DC"/>
    <w:rsid w:val="00C53C77"/>
    <w:rsid w:val="00C556B0"/>
    <w:rsid w:val="00C55C6A"/>
    <w:rsid w:val="00C55CDF"/>
    <w:rsid w:val="00C56646"/>
    <w:rsid w:val="00C56B9D"/>
    <w:rsid w:val="00C56C27"/>
    <w:rsid w:val="00C57EE6"/>
    <w:rsid w:val="00C60E49"/>
    <w:rsid w:val="00C61B2E"/>
    <w:rsid w:val="00C61BA7"/>
    <w:rsid w:val="00C62421"/>
    <w:rsid w:val="00C62A39"/>
    <w:rsid w:val="00C63966"/>
    <w:rsid w:val="00C644B4"/>
    <w:rsid w:val="00C64BED"/>
    <w:rsid w:val="00C65459"/>
    <w:rsid w:val="00C655A4"/>
    <w:rsid w:val="00C66B74"/>
    <w:rsid w:val="00C66F57"/>
    <w:rsid w:val="00C670FD"/>
    <w:rsid w:val="00C6754C"/>
    <w:rsid w:val="00C675DE"/>
    <w:rsid w:val="00C70455"/>
    <w:rsid w:val="00C7050B"/>
    <w:rsid w:val="00C70806"/>
    <w:rsid w:val="00C70DC4"/>
    <w:rsid w:val="00C70E0E"/>
    <w:rsid w:val="00C71331"/>
    <w:rsid w:val="00C71BCB"/>
    <w:rsid w:val="00C724B3"/>
    <w:rsid w:val="00C72AD7"/>
    <w:rsid w:val="00C73C97"/>
    <w:rsid w:val="00C73D4D"/>
    <w:rsid w:val="00C74762"/>
    <w:rsid w:val="00C7491C"/>
    <w:rsid w:val="00C74C7B"/>
    <w:rsid w:val="00C74F92"/>
    <w:rsid w:val="00C75D86"/>
    <w:rsid w:val="00C76048"/>
    <w:rsid w:val="00C77148"/>
    <w:rsid w:val="00C77649"/>
    <w:rsid w:val="00C77BD1"/>
    <w:rsid w:val="00C80214"/>
    <w:rsid w:val="00C80367"/>
    <w:rsid w:val="00C81122"/>
    <w:rsid w:val="00C8157B"/>
    <w:rsid w:val="00C817B7"/>
    <w:rsid w:val="00C819C7"/>
    <w:rsid w:val="00C82606"/>
    <w:rsid w:val="00C830F9"/>
    <w:rsid w:val="00C831F5"/>
    <w:rsid w:val="00C833EE"/>
    <w:rsid w:val="00C852D9"/>
    <w:rsid w:val="00C860FE"/>
    <w:rsid w:val="00C86169"/>
    <w:rsid w:val="00C86242"/>
    <w:rsid w:val="00C86618"/>
    <w:rsid w:val="00C86C16"/>
    <w:rsid w:val="00C8738E"/>
    <w:rsid w:val="00C874E4"/>
    <w:rsid w:val="00C87E4A"/>
    <w:rsid w:val="00C90A08"/>
    <w:rsid w:val="00C910AB"/>
    <w:rsid w:val="00C91796"/>
    <w:rsid w:val="00C91B58"/>
    <w:rsid w:val="00C9473A"/>
    <w:rsid w:val="00C95671"/>
    <w:rsid w:val="00C95C88"/>
    <w:rsid w:val="00C96490"/>
    <w:rsid w:val="00C979FF"/>
    <w:rsid w:val="00C97A90"/>
    <w:rsid w:val="00C97D07"/>
    <w:rsid w:val="00CA0118"/>
    <w:rsid w:val="00CA052B"/>
    <w:rsid w:val="00CA1783"/>
    <w:rsid w:val="00CA1F6C"/>
    <w:rsid w:val="00CA233D"/>
    <w:rsid w:val="00CA2625"/>
    <w:rsid w:val="00CA2995"/>
    <w:rsid w:val="00CA29EC"/>
    <w:rsid w:val="00CA2AAB"/>
    <w:rsid w:val="00CA2AD2"/>
    <w:rsid w:val="00CA2B11"/>
    <w:rsid w:val="00CA406B"/>
    <w:rsid w:val="00CA4562"/>
    <w:rsid w:val="00CA4E90"/>
    <w:rsid w:val="00CA728C"/>
    <w:rsid w:val="00CA753D"/>
    <w:rsid w:val="00CB0D31"/>
    <w:rsid w:val="00CB0DC8"/>
    <w:rsid w:val="00CB12F0"/>
    <w:rsid w:val="00CB188C"/>
    <w:rsid w:val="00CB1CA9"/>
    <w:rsid w:val="00CB2487"/>
    <w:rsid w:val="00CB28F2"/>
    <w:rsid w:val="00CB4269"/>
    <w:rsid w:val="00CB464C"/>
    <w:rsid w:val="00CB4A90"/>
    <w:rsid w:val="00CB57D6"/>
    <w:rsid w:val="00CB5A20"/>
    <w:rsid w:val="00CB5F2C"/>
    <w:rsid w:val="00CB62CC"/>
    <w:rsid w:val="00CB6BA4"/>
    <w:rsid w:val="00CB78E3"/>
    <w:rsid w:val="00CB7ECA"/>
    <w:rsid w:val="00CC00A2"/>
    <w:rsid w:val="00CC029B"/>
    <w:rsid w:val="00CC1053"/>
    <w:rsid w:val="00CC11F4"/>
    <w:rsid w:val="00CC16A6"/>
    <w:rsid w:val="00CC1AB7"/>
    <w:rsid w:val="00CC2048"/>
    <w:rsid w:val="00CC2404"/>
    <w:rsid w:val="00CC4006"/>
    <w:rsid w:val="00CC4248"/>
    <w:rsid w:val="00CC4B1D"/>
    <w:rsid w:val="00CC50AF"/>
    <w:rsid w:val="00CC6A79"/>
    <w:rsid w:val="00CC6A7A"/>
    <w:rsid w:val="00CC7080"/>
    <w:rsid w:val="00CC793B"/>
    <w:rsid w:val="00CD0A0C"/>
    <w:rsid w:val="00CD1A4B"/>
    <w:rsid w:val="00CD26D4"/>
    <w:rsid w:val="00CD2D32"/>
    <w:rsid w:val="00CD2DA0"/>
    <w:rsid w:val="00CD3B59"/>
    <w:rsid w:val="00CD4C76"/>
    <w:rsid w:val="00CD5738"/>
    <w:rsid w:val="00CD5A11"/>
    <w:rsid w:val="00CD695A"/>
    <w:rsid w:val="00CD735C"/>
    <w:rsid w:val="00CE0955"/>
    <w:rsid w:val="00CE0FF1"/>
    <w:rsid w:val="00CE174B"/>
    <w:rsid w:val="00CE17DD"/>
    <w:rsid w:val="00CE1AFB"/>
    <w:rsid w:val="00CE29D1"/>
    <w:rsid w:val="00CE2A44"/>
    <w:rsid w:val="00CE2B93"/>
    <w:rsid w:val="00CE350C"/>
    <w:rsid w:val="00CE353B"/>
    <w:rsid w:val="00CE3E71"/>
    <w:rsid w:val="00CE4097"/>
    <w:rsid w:val="00CE422D"/>
    <w:rsid w:val="00CE5C8F"/>
    <w:rsid w:val="00CE652A"/>
    <w:rsid w:val="00CE7410"/>
    <w:rsid w:val="00CE7B18"/>
    <w:rsid w:val="00CE7E34"/>
    <w:rsid w:val="00CF06BF"/>
    <w:rsid w:val="00CF0F33"/>
    <w:rsid w:val="00CF12C8"/>
    <w:rsid w:val="00CF1797"/>
    <w:rsid w:val="00CF1FB0"/>
    <w:rsid w:val="00CF22EA"/>
    <w:rsid w:val="00CF2BD4"/>
    <w:rsid w:val="00CF30D7"/>
    <w:rsid w:val="00CF4744"/>
    <w:rsid w:val="00CF660D"/>
    <w:rsid w:val="00CF6B35"/>
    <w:rsid w:val="00CF6E4B"/>
    <w:rsid w:val="00CF7B19"/>
    <w:rsid w:val="00CF7C5D"/>
    <w:rsid w:val="00D001AA"/>
    <w:rsid w:val="00D0111A"/>
    <w:rsid w:val="00D02032"/>
    <w:rsid w:val="00D0274D"/>
    <w:rsid w:val="00D02CDD"/>
    <w:rsid w:val="00D02D27"/>
    <w:rsid w:val="00D02D59"/>
    <w:rsid w:val="00D0310C"/>
    <w:rsid w:val="00D031EA"/>
    <w:rsid w:val="00D0332E"/>
    <w:rsid w:val="00D03B4D"/>
    <w:rsid w:val="00D03CBF"/>
    <w:rsid w:val="00D052ED"/>
    <w:rsid w:val="00D05E3A"/>
    <w:rsid w:val="00D06394"/>
    <w:rsid w:val="00D06B32"/>
    <w:rsid w:val="00D0713F"/>
    <w:rsid w:val="00D0747D"/>
    <w:rsid w:val="00D109E4"/>
    <w:rsid w:val="00D1124D"/>
    <w:rsid w:val="00D12A46"/>
    <w:rsid w:val="00D13112"/>
    <w:rsid w:val="00D13936"/>
    <w:rsid w:val="00D13AE3"/>
    <w:rsid w:val="00D145E8"/>
    <w:rsid w:val="00D14872"/>
    <w:rsid w:val="00D15861"/>
    <w:rsid w:val="00D15894"/>
    <w:rsid w:val="00D161FF"/>
    <w:rsid w:val="00D16666"/>
    <w:rsid w:val="00D172D6"/>
    <w:rsid w:val="00D17D9F"/>
    <w:rsid w:val="00D204E1"/>
    <w:rsid w:val="00D23252"/>
    <w:rsid w:val="00D233BA"/>
    <w:rsid w:val="00D23829"/>
    <w:rsid w:val="00D2410A"/>
    <w:rsid w:val="00D24FE5"/>
    <w:rsid w:val="00D253F4"/>
    <w:rsid w:val="00D26804"/>
    <w:rsid w:val="00D273CD"/>
    <w:rsid w:val="00D27768"/>
    <w:rsid w:val="00D27F0D"/>
    <w:rsid w:val="00D30546"/>
    <w:rsid w:val="00D30D96"/>
    <w:rsid w:val="00D30F24"/>
    <w:rsid w:val="00D30F5E"/>
    <w:rsid w:val="00D30F61"/>
    <w:rsid w:val="00D31229"/>
    <w:rsid w:val="00D3145D"/>
    <w:rsid w:val="00D32266"/>
    <w:rsid w:val="00D32AAE"/>
    <w:rsid w:val="00D331DC"/>
    <w:rsid w:val="00D33AAE"/>
    <w:rsid w:val="00D3465E"/>
    <w:rsid w:val="00D34B8C"/>
    <w:rsid w:val="00D34E6A"/>
    <w:rsid w:val="00D36DD8"/>
    <w:rsid w:val="00D36F47"/>
    <w:rsid w:val="00D3718F"/>
    <w:rsid w:val="00D3737A"/>
    <w:rsid w:val="00D40AAD"/>
    <w:rsid w:val="00D4120D"/>
    <w:rsid w:val="00D412C5"/>
    <w:rsid w:val="00D41788"/>
    <w:rsid w:val="00D42143"/>
    <w:rsid w:val="00D42CA5"/>
    <w:rsid w:val="00D43080"/>
    <w:rsid w:val="00D43B1B"/>
    <w:rsid w:val="00D442B5"/>
    <w:rsid w:val="00D4446F"/>
    <w:rsid w:val="00D44896"/>
    <w:rsid w:val="00D449A7"/>
    <w:rsid w:val="00D46696"/>
    <w:rsid w:val="00D46FD2"/>
    <w:rsid w:val="00D471BF"/>
    <w:rsid w:val="00D474BB"/>
    <w:rsid w:val="00D47DE1"/>
    <w:rsid w:val="00D507AB"/>
    <w:rsid w:val="00D5084A"/>
    <w:rsid w:val="00D50E2A"/>
    <w:rsid w:val="00D50EED"/>
    <w:rsid w:val="00D51B4F"/>
    <w:rsid w:val="00D52F2C"/>
    <w:rsid w:val="00D53211"/>
    <w:rsid w:val="00D532CC"/>
    <w:rsid w:val="00D547FE"/>
    <w:rsid w:val="00D54912"/>
    <w:rsid w:val="00D55615"/>
    <w:rsid w:val="00D568D0"/>
    <w:rsid w:val="00D56BB5"/>
    <w:rsid w:val="00D572F8"/>
    <w:rsid w:val="00D57502"/>
    <w:rsid w:val="00D57731"/>
    <w:rsid w:val="00D57A40"/>
    <w:rsid w:val="00D57A61"/>
    <w:rsid w:val="00D57E80"/>
    <w:rsid w:val="00D60B28"/>
    <w:rsid w:val="00D60C11"/>
    <w:rsid w:val="00D61F28"/>
    <w:rsid w:val="00D62525"/>
    <w:rsid w:val="00D62EC4"/>
    <w:rsid w:val="00D63211"/>
    <w:rsid w:val="00D63FB8"/>
    <w:rsid w:val="00D64872"/>
    <w:rsid w:val="00D65569"/>
    <w:rsid w:val="00D65580"/>
    <w:rsid w:val="00D657E2"/>
    <w:rsid w:val="00D65F11"/>
    <w:rsid w:val="00D665EB"/>
    <w:rsid w:val="00D6669F"/>
    <w:rsid w:val="00D66A48"/>
    <w:rsid w:val="00D673AB"/>
    <w:rsid w:val="00D676D0"/>
    <w:rsid w:val="00D72ABC"/>
    <w:rsid w:val="00D735BF"/>
    <w:rsid w:val="00D73B08"/>
    <w:rsid w:val="00D73BC1"/>
    <w:rsid w:val="00D7404D"/>
    <w:rsid w:val="00D7446C"/>
    <w:rsid w:val="00D74872"/>
    <w:rsid w:val="00D75042"/>
    <w:rsid w:val="00D75DD4"/>
    <w:rsid w:val="00D7644E"/>
    <w:rsid w:val="00D76681"/>
    <w:rsid w:val="00D767CA"/>
    <w:rsid w:val="00D767DF"/>
    <w:rsid w:val="00D767E9"/>
    <w:rsid w:val="00D76BEA"/>
    <w:rsid w:val="00D772D0"/>
    <w:rsid w:val="00D7733E"/>
    <w:rsid w:val="00D773AE"/>
    <w:rsid w:val="00D77762"/>
    <w:rsid w:val="00D77EB7"/>
    <w:rsid w:val="00D80634"/>
    <w:rsid w:val="00D80D7A"/>
    <w:rsid w:val="00D811B9"/>
    <w:rsid w:val="00D811D0"/>
    <w:rsid w:val="00D813EC"/>
    <w:rsid w:val="00D81539"/>
    <w:rsid w:val="00D81C37"/>
    <w:rsid w:val="00D81DF6"/>
    <w:rsid w:val="00D82657"/>
    <w:rsid w:val="00D82EF4"/>
    <w:rsid w:val="00D83C68"/>
    <w:rsid w:val="00D843CD"/>
    <w:rsid w:val="00D84B9E"/>
    <w:rsid w:val="00D84E61"/>
    <w:rsid w:val="00D84FEE"/>
    <w:rsid w:val="00D858DC"/>
    <w:rsid w:val="00D86ED2"/>
    <w:rsid w:val="00D87A5D"/>
    <w:rsid w:val="00D87E8D"/>
    <w:rsid w:val="00D90623"/>
    <w:rsid w:val="00D9083D"/>
    <w:rsid w:val="00D9130E"/>
    <w:rsid w:val="00D92F3C"/>
    <w:rsid w:val="00D930F8"/>
    <w:rsid w:val="00D9346F"/>
    <w:rsid w:val="00D934C9"/>
    <w:rsid w:val="00D93EAA"/>
    <w:rsid w:val="00D956B8"/>
    <w:rsid w:val="00D95C6B"/>
    <w:rsid w:val="00D95F92"/>
    <w:rsid w:val="00D96AEC"/>
    <w:rsid w:val="00D97161"/>
    <w:rsid w:val="00D979F7"/>
    <w:rsid w:val="00DA04E5"/>
    <w:rsid w:val="00DA0B8D"/>
    <w:rsid w:val="00DA0E57"/>
    <w:rsid w:val="00DA3E17"/>
    <w:rsid w:val="00DA3E1E"/>
    <w:rsid w:val="00DA43B9"/>
    <w:rsid w:val="00DA538A"/>
    <w:rsid w:val="00DA551B"/>
    <w:rsid w:val="00DA5B88"/>
    <w:rsid w:val="00DA67BB"/>
    <w:rsid w:val="00DA6983"/>
    <w:rsid w:val="00DA6B43"/>
    <w:rsid w:val="00DA760C"/>
    <w:rsid w:val="00DB0AC7"/>
    <w:rsid w:val="00DB0CDF"/>
    <w:rsid w:val="00DB1529"/>
    <w:rsid w:val="00DB2548"/>
    <w:rsid w:val="00DB2FBD"/>
    <w:rsid w:val="00DB30B4"/>
    <w:rsid w:val="00DB53ED"/>
    <w:rsid w:val="00DB5E99"/>
    <w:rsid w:val="00DB788D"/>
    <w:rsid w:val="00DB7DBA"/>
    <w:rsid w:val="00DB7E7D"/>
    <w:rsid w:val="00DC252A"/>
    <w:rsid w:val="00DC37CB"/>
    <w:rsid w:val="00DC3EE5"/>
    <w:rsid w:val="00DC4145"/>
    <w:rsid w:val="00DC41FD"/>
    <w:rsid w:val="00DC4862"/>
    <w:rsid w:val="00DC5023"/>
    <w:rsid w:val="00DC5703"/>
    <w:rsid w:val="00DC5DD6"/>
    <w:rsid w:val="00DC64D0"/>
    <w:rsid w:val="00DC6E8A"/>
    <w:rsid w:val="00DC7471"/>
    <w:rsid w:val="00DC7841"/>
    <w:rsid w:val="00DC7999"/>
    <w:rsid w:val="00DD09CF"/>
    <w:rsid w:val="00DD0CE9"/>
    <w:rsid w:val="00DD0EFA"/>
    <w:rsid w:val="00DD19CC"/>
    <w:rsid w:val="00DD28F4"/>
    <w:rsid w:val="00DD2BBE"/>
    <w:rsid w:val="00DD37A2"/>
    <w:rsid w:val="00DD39E2"/>
    <w:rsid w:val="00DD4186"/>
    <w:rsid w:val="00DD478C"/>
    <w:rsid w:val="00DD4E73"/>
    <w:rsid w:val="00DD5F25"/>
    <w:rsid w:val="00DD62E3"/>
    <w:rsid w:val="00DD6A4D"/>
    <w:rsid w:val="00DD71C3"/>
    <w:rsid w:val="00DE0A79"/>
    <w:rsid w:val="00DE1FE2"/>
    <w:rsid w:val="00DE24A7"/>
    <w:rsid w:val="00DE2531"/>
    <w:rsid w:val="00DE3608"/>
    <w:rsid w:val="00DE41BB"/>
    <w:rsid w:val="00DE4209"/>
    <w:rsid w:val="00DE54AB"/>
    <w:rsid w:val="00DE5D79"/>
    <w:rsid w:val="00DE6403"/>
    <w:rsid w:val="00DE6C49"/>
    <w:rsid w:val="00DE6F97"/>
    <w:rsid w:val="00DE6FC5"/>
    <w:rsid w:val="00DE7744"/>
    <w:rsid w:val="00DF038D"/>
    <w:rsid w:val="00DF0872"/>
    <w:rsid w:val="00DF08BC"/>
    <w:rsid w:val="00DF0953"/>
    <w:rsid w:val="00DF1901"/>
    <w:rsid w:val="00DF29E4"/>
    <w:rsid w:val="00DF35D8"/>
    <w:rsid w:val="00DF39A6"/>
    <w:rsid w:val="00DF4015"/>
    <w:rsid w:val="00DF4423"/>
    <w:rsid w:val="00DF4797"/>
    <w:rsid w:val="00DF4924"/>
    <w:rsid w:val="00DF4EF1"/>
    <w:rsid w:val="00DF588E"/>
    <w:rsid w:val="00DF5973"/>
    <w:rsid w:val="00DF5B16"/>
    <w:rsid w:val="00DF6170"/>
    <w:rsid w:val="00DF6AB0"/>
    <w:rsid w:val="00DF6E45"/>
    <w:rsid w:val="00DF7704"/>
    <w:rsid w:val="00DF7CB9"/>
    <w:rsid w:val="00DF7CCC"/>
    <w:rsid w:val="00DF7D10"/>
    <w:rsid w:val="00DF7D72"/>
    <w:rsid w:val="00E00109"/>
    <w:rsid w:val="00E00719"/>
    <w:rsid w:val="00E008B6"/>
    <w:rsid w:val="00E00D0D"/>
    <w:rsid w:val="00E00FEF"/>
    <w:rsid w:val="00E012C6"/>
    <w:rsid w:val="00E0239B"/>
    <w:rsid w:val="00E024A8"/>
    <w:rsid w:val="00E025FB"/>
    <w:rsid w:val="00E0308C"/>
    <w:rsid w:val="00E03840"/>
    <w:rsid w:val="00E0419A"/>
    <w:rsid w:val="00E05A2A"/>
    <w:rsid w:val="00E079B2"/>
    <w:rsid w:val="00E100F9"/>
    <w:rsid w:val="00E10C83"/>
    <w:rsid w:val="00E11062"/>
    <w:rsid w:val="00E1133C"/>
    <w:rsid w:val="00E11C2C"/>
    <w:rsid w:val="00E11E08"/>
    <w:rsid w:val="00E120CE"/>
    <w:rsid w:val="00E13096"/>
    <w:rsid w:val="00E13522"/>
    <w:rsid w:val="00E13A68"/>
    <w:rsid w:val="00E14C81"/>
    <w:rsid w:val="00E14CE2"/>
    <w:rsid w:val="00E14F74"/>
    <w:rsid w:val="00E151F2"/>
    <w:rsid w:val="00E152D2"/>
    <w:rsid w:val="00E155B1"/>
    <w:rsid w:val="00E15F55"/>
    <w:rsid w:val="00E1616B"/>
    <w:rsid w:val="00E17216"/>
    <w:rsid w:val="00E1742F"/>
    <w:rsid w:val="00E17C28"/>
    <w:rsid w:val="00E20C63"/>
    <w:rsid w:val="00E217AD"/>
    <w:rsid w:val="00E21A61"/>
    <w:rsid w:val="00E2205F"/>
    <w:rsid w:val="00E22282"/>
    <w:rsid w:val="00E23518"/>
    <w:rsid w:val="00E24684"/>
    <w:rsid w:val="00E24F47"/>
    <w:rsid w:val="00E2542F"/>
    <w:rsid w:val="00E258AA"/>
    <w:rsid w:val="00E259E4"/>
    <w:rsid w:val="00E2643A"/>
    <w:rsid w:val="00E27327"/>
    <w:rsid w:val="00E277A3"/>
    <w:rsid w:val="00E27C49"/>
    <w:rsid w:val="00E30667"/>
    <w:rsid w:val="00E3088C"/>
    <w:rsid w:val="00E30DFE"/>
    <w:rsid w:val="00E30F58"/>
    <w:rsid w:val="00E31A90"/>
    <w:rsid w:val="00E33513"/>
    <w:rsid w:val="00E337C9"/>
    <w:rsid w:val="00E33C36"/>
    <w:rsid w:val="00E33E8D"/>
    <w:rsid w:val="00E340E7"/>
    <w:rsid w:val="00E341A4"/>
    <w:rsid w:val="00E348AF"/>
    <w:rsid w:val="00E34A4F"/>
    <w:rsid w:val="00E356FE"/>
    <w:rsid w:val="00E3583B"/>
    <w:rsid w:val="00E36212"/>
    <w:rsid w:val="00E36824"/>
    <w:rsid w:val="00E37A72"/>
    <w:rsid w:val="00E40C28"/>
    <w:rsid w:val="00E43537"/>
    <w:rsid w:val="00E4369C"/>
    <w:rsid w:val="00E4433A"/>
    <w:rsid w:val="00E44555"/>
    <w:rsid w:val="00E458FD"/>
    <w:rsid w:val="00E45930"/>
    <w:rsid w:val="00E45B0D"/>
    <w:rsid w:val="00E473E4"/>
    <w:rsid w:val="00E478E2"/>
    <w:rsid w:val="00E503A0"/>
    <w:rsid w:val="00E508BA"/>
    <w:rsid w:val="00E50AF9"/>
    <w:rsid w:val="00E543BD"/>
    <w:rsid w:val="00E5489E"/>
    <w:rsid w:val="00E54E8C"/>
    <w:rsid w:val="00E54FCB"/>
    <w:rsid w:val="00E553A9"/>
    <w:rsid w:val="00E55A2C"/>
    <w:rsid w:val="00E56862"/>
    <w:rsid w:val="00E57F3A"/>
    <w:rsid w:val="00E60343"/>
    <w:rsid w:val="00E605F0"/>
    <w:rsid w:val="00E605F9"/>
    <w:rsid w:val="00E617E8"/>
    <w:rsid w:val="00E61A0F"/>
    <w:rsid w:val="00E628EB"/>
    <w:rsid w:val="00E63997"/>
    <w:rsid w:val="00E6414C"/>
    <w:rsid w:val="00E64D01"/>
    <w:rsid w:val="00E650C3"/>
    <w:rsid w:val="00E65F14"/>
    <w:rsid w:val="00E67CCF"/>
    <w:rsid w:val="00E70343"/>
    <w:rsid w:val="00E70C9E"/>
    <w:rsid w:val="00E724F9"/>
    <w:rsid w:val="00E72D17"/>
    <w:rsid w:val="00E72F1C"/>
    <w:rsid w:val="00E73011"/>
    <w:rsid w:val="00E7334C"/>
    <w:rsid w:val="00E73E8A"/>
    <w:rsid w:val="00E75622"/>
    <w:rsid w:val="00E763B4"/>
    <w:rsid w:val="00E7654D"/>
    <w:rsid w:val="00E773DD"/>
    <w:rsid w:val="00E77521"/>
    <w:rsid w:val="00E77ABE"/>
    <w:rsid w:val="00E77DF0"/>
    <w:rsid w:val="00E77DF5"/>
    <w:rsid w:val="00E80A69"/>
    <w:rsid w:val="00E80FB9"/>
    <w:rsid w:val="00E818DB"/>
    <w:rsid w:val="00E824A2"/>
    <w:rsid w:val="00E830E6"/>
    <w:rsid w:val="00E83996"/>
    <w:rsid w:val="00E83FD3"/>
    <w:rsid w:val="00E8487A"/>
    <w:rsid w:val="00E84CE7"/>
    <w:rsid w:val="00E856FA"/>
    <w:rsid w:val="00E85844"/>
    <w:rsid w:val="00E86534"/>
    <w:rsid w:val="00E87CE8"/>
    <w:rsid w:val="00E90326"/>
    <w:rsid w:val="00E903CA"/>
    <w:rsid w:val="00E90A17"/>
    <w:rsid w:val="00E915B8"/>
    <w:rsid w:val="00E91916"/>
    <w:rsid w:val="00E91FCB"/>
    <w:rsid w:val="00E9215A"/>
    <w:rsid w:val="00E92A84"/>
    <w:rsid w:val="00E93473"/>
    <w:rsid w:val="00E9396D"/>
    <w:rsid w:val="00E945AC"/>
    <w:rsid w:val="00E94ACE"/>
    <w:rsid w:val="00E954D6"/>
    <w:rsid w:val="00E955F4"/>
    <w:rsid w:val="00E95CF8"/>
    <w:rsid w:val="00E96882"/>
    <w:rsid w:val="00E96BEF"/>
    <w:rsid w:val="00E970D9"/>
    <w:rsid w:val="00E97640"/>
    <w:rsid w:val="00E97E17"/>
    <w:rsid w:val="00EA0079"/>
    <w:rsid w:val="00EA0B1E"/>
    <w:rsid w:val="00EA193A"/>
    <w:rsid w:val="00EA1B72"/>
    <w:rsid w:val="00EA297A"/>
    <w:rsid w:val="00EA2F7A"/>
    <w:rsid w:val="00EA3E11"/>
    <w:rsid w:val="00EA462F"/>
    <w:rsid w:val="00EA49A1"/>
    <w:rsid w:val="00EA4A6B"/>
    <w:rsid w:val="00EA4A7E"/>
    <w:rsid w:val="00EA62E9"/>
    <w:rsid w:val="00EA6449"/>
    <w:rsid w:val="00EA7FD0"/>
    <w:rsid w:val="00EB1B4F"/>
    <w:rsid w:val="00EB249C"/>
    <w:rsid w:val="00EB29F1"/>
    <w:rsid w:val="00EB2BD8"/>
    <w:rsid w:val="00EB328B"/>
    <w:rsid w:val="00EB3B2A"/>
    <w:rsid w:val="00EB3D80"/>
    <w:rsid w:val="00EB3F50"/>
    <w:rsid w:val="00EB4A21"/>
    <w:rsid w:val="00EB4CC5"/>
    <w:rsid w:val="00EB707D"/>
    <w:rsid w:val="00EB7373"/>
    <w:rsid w:val="00EB73E6"/>
    <w:rsid w:val="00EB7F23"/>
    <w:rsid w:val="00EC0F65"/>
    <w:rsid w:val="00EC1544"/>
    <w:rsid w:val="00EC203A"/>
    <w:rsid w:val="00EC2288"/>
    <w:rsid w:val="00EC2DAA"/>
    <w:rsid w:val="00EC2EBA"/>
    <w:rsid w:val="00EC365B"/>
    <w:rsid w:val="00EC376B"/>
    <w:rsid w:val="00EC4735"/>
    <w:rsid w:val="00EC4E01"/>
    <w:rsid w:val="00EC4EB4"/>
    <w:rsid w:val="00EC5E33"/>
    <w:rsid w:val="00EC6246"/>
    <w:rsid w:val="00EC6DF7"/>
    <w:rsid w:val="00EC6E2A"/>
    <w:rsid w:val="00EC72FD"/>
    <w:rsid w:val="00EC77C9"/>
    <w:rsid w:val="00EC7CAD"/>
    <w:rsid w:val="00EC7E89"/>
    <w:rsid w:val="00ED0AAA"/>
    <w:rsid w:val="00ED2401"/>
    <w:rsid w:val="00ED2452"/>
    <w:rsid w:val="00ED263F"/>
    <w:rsid w:val="00ED2778"/>
    <w:rsid w:val="00ED31DF"/>
    <w:rsid w:val="00ED367C"/>
    <w:rsid w:val="00ED4B49"/>
    <w:rsid w:val="00ED5413"/>
    <w:rsid w:val="00ED5457"/>
    <w:rsid w:val="00ED65D5"/>
    <w:rsid w:val="00ED65E1"/>
    <w:rsid w:val="00ED69B6"/>
    <w:rsid w:val="00ED77C9"/>
    <w:rsid w:val="00EE0129"/>
    <w:rsid w:val="00EE0C32"/>
    <w:rsid w:val="00EE0F54"/>
    <w:rsid w:val="00EE0FE7"/>
    <w:rsid w:val="00EE1538"/>
    <w:rsid w:val="00EE188C"/>
    <w:rsid w:val="00EE1B06"/>
    <w:rsid w:val="00EE201D"/>
    <w:rsid w:val="00EE20A0"/>
    <w:rsid w:val="00EE2AE2"/>
    <w:rsid w:val="00EE2F4B"/>
    <w:rsid w:val="00EE44E7"/>
    <w:rsid w:val="00EE52B3"/>
    <w:rsid w:val="00EE5470"/>
    <w:rsid w:val="00EE68EC"/>
    <w:rsid w:val="00EE6E1B"/>
    <w:rsid w:val="00EE6F01"/>
    <w:rsid w:val="00EE7255"/>
    <w:rsid w:val="00EF1000"/>
    <w:rsid w:val="00EF292E"/>
    <w:rsid w:val="00EF342D"/>
    <w:rsid w:val="00EF372B"/>
    <w:rsid w:val="00EF40AC"/>
    <w:rsid w:val="00EF41CC"/>
    <w:rsid w:val="00EF4852"/>
    <w:rsid w:val="00EF490A"/>
    <w:rsid w:val="00EF520F"/>
    <w:rsid w:val="00EF557C"/>
    <w:rsid w:val="00EF584E"/>
    <w:rsid w:val="00EF585D"/>
    <w:rsid w:val="00EF5ADC"/>
    <w:rsid w:val="00EF6E0F"/>
    <w:rsid w:val="00EF70BB"/>
    <w:rsid w:val="00EF77AD"/>
    <w:rsid w:val="00F0037A"/>
    <w:rsid w:val="00F007DC"/>
    <w:rsid w:val="00F00EA3"/>
    <w:rsid w:val="00F00F08"/>
    <w:rsid w:val="00F00F0E"/>
    <w:rsid w:val="00F00FB7"/>
    <w:rsid w:val="00F011E1"/>
    <w:rsid w:val="00F012C3"/>
    <w:rsid w:val="00F01662"/>
    <w:rsid w:val="00F0181A"/>
    <w:rsid w:val="00F01C12"/>
    <w:rsid w:val="00F01F61"/>
    <w:rsid w:val="00F0300E"/>
    <w:rsid w:val="00F0337F"/>
    <w:rsid w:val="00F034E2"/>
    <w:rsid w:val="00F05208"/>
    <w:rsid w:val="00F0755E"/>
    <w:rsid w:val="00F100AE"/>
    <w:rsid w:val="00F108FD"/>
    <w:rsid w:val="00F10FAB"/>
    <w:rsid w:val="00F11CA6"/>
    <w:rsid w:val="00F12ABF"/>
    <w:rsid w:val="00F13365"/>
    <w:rsid w:val="00F1342B"/>
    <w:rsid w:val="00F136D8"/>
    <w:rsid w:val="00F1402F"/>
    <w:rsid w:val="00F141B3"/>
    <w:rsid w:val="00F14D66"/>
    <w:rsid w:val="00F152CC"/>
    <w:rsid w:val="00F15FEB"/>
    <w:rsid w:val="00F16480"/>
    <w:rsid w:val="00F16537"/>
    <w:rsid w:val="00F16A02"/>
    <w:rsid w:val="00F16A33"/>
    <w:rsid w:val="00F16B2E"/>
    <w:rsid w:val="00F16DE3"/>
    <w:rsid w:val="00F1781A"/>
    <w:rsid w:val="00F20365"/>
    <w:rsid w:val="00F2057E"/>
    <w:rsid w:val="00F206EF"/>
    <w:rsid w:val="00F20A42"/>
    <w:rsid w:val="00F21672"/>
    <w:rsid w:val="00F2168C"/>
    <w:rsid w:val="00F2172B"/>
    <w:rsid w:val="00F21CAB"/>
    <w:rsid w:val="00F21DBC"/>
    <w:rsid w:val="00F222B4"/>
    <w:rsid w:val="00F22B07"/>
    <w:rsid w:val="00F240D5"/>
    <w:rsid w:val="00F243F1"/>
    <w:rsid w:val="00F25247"/>
    <w:rsid w:val="00F25821"/>
    <w:rsid w:val="00F26604"/>
    <w:rsid w:val="00F26793"/>
    <w:rsid w:val="00F26F56"/>
    <w:rsid w:val="00F26F5D"/>
    <w:rsid w:val="00F27298"/>
    <w:rsid w:val="00F27C9E"/>
    <w:rsid w:val="00F310CF"/>
    <w:rsid w:val="00F313BA"/>
    <w:rsid w:val="00F31958"/>
    <w:rsid w:val="00F32ED5"/>
    <w:rsid w:val="00F33128"/>
    <w:rsid w:val="00F33B2E"/>
    <w:rsid w:val="00F35366"/>
    <w:rsid w:val="00F360EA"/>
    <w:rsid w:val="00F36118"/>
    <w:rsid w:val="00F401F9"/>
    <w:rsid w:val="00F40A87"/>
    <w:rsid w:val="00F4255E"/>
    <w:rsid w:val="00F4302D"/>
    <w:rsid w:val="00F4306B"/>
    <w:rsid w:val="00F438D6"/>
    <w:rsid w:val="00F43ECF"/>
    <w:rsid w:val="00F44BCA"/>
    <w:rsid w:val="00F44EDA"/>
    <w:rsid w:val="00F45DE0"/>
    <w:rsid w:val="00F4627F"/>
    <w:rsid w:val="00F46BD0"/>
    <w:rsid w:val="00F5007C"/>
    <w:rsid w:val="00F5019F"/>
    <w:rsid w:val="00F50E63"/>
    <w:rsid w:val="00F51457"/>
    <w:rsid w:val="00F52332"/>
    <w:rsid w:val="00F54B8C"/>
    <w:rsid w:val="00F55390"/>
    <w:rsid w:val="00F55567"/>
    <w:rsid w:val="00F55FB0"/>
    <w:rsid w:val="00F5638E"/>
    <w:rsid w:val="00F5687F"/>
    <w:rsid w:val="00F60331"/>
    <w:rsid w:val="00F60E7D"/>
    <w:rsid w:val="00F61B4A"/>
    <w:rsid w:val="00F62990"/>
    <w:rsid w:val="00F62D29"/>
    <w:rsid w:val="00F6361B"/>
    <w:rsid w:val="00F63E20"/>
    <w:rsid w:val="00F63FE3"/>
    <w:rsid w:val="00F64374"/>
    <w:rsid w:val="00F64E65"/>
    <w:rsid w:val="00F655DA"/>
    <w:rsid w:val="00F65EDF"/>
    <w:rsid w:val="00F66061"/>
    <w:rsid w:val="00F6617A"/>
    <w:rsid w:val="00F6779E"/>
    <w:rsid w:val="00F679EC"/>
    <w:rsid w:val="00F704A9"/>
    <w:rsid w:val="00F70814"/>
    <w:rsid w:val="00F711A6"/>
    <w:rsid w:val="00F71412"/>
    <w:rsid w:val="00F71E8A"/>
    <w:rsid w:val="00F72558"/>
    <w:rsid w:val="00F72BA8"/>
    <w:rsid w:val="00F73832"/>
    <w:rsid w:val="00F740EB"/>
    <w:rsid w:val="00F74293"/>
    <w:rsid w:val="00F754C3"/>
    <w:rsid w:val="00F75617"/>
    <w:rsid w:val="00F7583B"/>
    <w:rsid w:val="00F77159"/>
    <w:rsid w:val="00F776EB"/>
    <w:rsid w:val="00F7797C"/>
    <w:rsid w:val="00F779DB"/>
    <w:rsid w:val="00F807EF"/>
    <w:rsid w:val="00F80C37"/>
    <w:rsid w:val="00F8115F"/>
    <w:rsid w:val="00F81522"/>
    <w:rsid w:val="00F817A7"/>
    <w:rsid w:val="00F81B25"/>
    <w:rsid w:val="00F81DC5"/>
    <w:rsid w:val="00F82857"/>
    <w:rsid w:val="00F8292D"/>
    <w:rsid w:val="00F83017"/>
    <w:rsid w:val="00F8324C"/>
    <w:rsid w:val="00F83820"/>
    <w:rsid w:val="00F83A0D"/>
    <w:rsid w:val="00F83CC8"/>
    <w:rsid w:val="00F84197"/>
    <w:rsid w:val="00F84C71"/>
    <w:rsid w:val="00F856A0"/>
    <w:rsid w:val="00F85713"/>
    <w:rsid w:val="00F86440"/>
    <w:rsid w:val="00F90001"/>
    <w:rsid w:val="00F90E4A"/>
    <w:rsid w:val="00F914BE"/>
    <w:rsid w:val="00F91D81"/>
    <w:rsid w:val="00F93483"/>
    <w:rsid w:val="00F936FD"/>
    <w:rsid w:val="00F970C9"/>
    <w:rsid w:val="00F97862"/>
    <w:rsid w:val="00FA0084"/>
    <w:rsid w:val="00FA1259"/>
    <w:rsid w:val="00FA13BB"/>
    <w:rsid w:val="00FA1C27"/>
    <w:rsid w:val="00FA1E8D"/>
    <w:rsid w:val="00FA2D89"/>
    <w:rsid w:val="00FA3469"/>
    <w:rsid w:val="00FA4A9B"/>
    <w:rsid w:val="00FA4B45"/>
    <w:rsid w:val="00FA4FA1"/>
    <w:rsid w:val="00FA5F88"/>
    <w:rsid w:val="00FA61D3"/>
    <w:rsid w:val="00FA7068"/>
    <w:rsid w:val="00FB04DD"/>
    <w:rsid w:val="00FB0712"/>
    <w:rsid w:val="00FB21CF"/>
    <w:rsid w:val="00FB22B8"/>
    <w:rsid w:val="00FB22E0"/>
    <w:rsid w:val="00FB2CB8"/>
    <w:rsid w:val="00FB2E06"/>
    <w:rsid w:val="00FB33A8"/>
    <w:rsid w:val="00FB34FB"/>
    <w:rsid w:val="00FB3685"/>
    <w:rsid w:val="00FB3CEB"/>
    <w:rsid w:val="00FB542D"/>
    <w:rsid w:val="00FB5C61"/>
    <w:rsid w:val="00FB7A02"/>
    <w:rsid w:val="00FC075D"/>
    <w:rsid w:val="00FC2655"/>
    <w:rsid w:val="00FC2D61"/>
    <w:rsid w:val="00FC3A05"/>
    <w:rsid w:val="00FC3E28"/>
    <w:rsid w:val="00FC50C1"/>
    <w:rsid w:val="00FC5244"/>
    <w:rsid w:val="00FC6966"/>
    <w:rsid w:val="00FC6B26"/>
    <w:rsid w:val="00FC70DD"/>
    <w:rsid w:val="00FC75C9"/>
    <w:rsid w:val="00FC7F80"/>
    <w:rsid w:val="00FD029A"/>
    <w:rsid w:val="00FD065B"/>
    <w:rsid w:val="00FD2C92"/>
    <w:rsid w:val="00FD2CD6"/>
    <w:rsid w:val="00FD30B1"/>
    <w:rsid w:val="00FD3407"/>
    <w:rsid w:val="00FD340E"/>
    <w:rsid w:val="00FD3EF6"/>
    <w:rsid w:val="00FD4DFD"/>
    <w:rsid w:val="00FD54AD"/>
    <w:rsid w:val="00FD5815"/>
    <w:rsid w:val="00FD5F0F"/>
    <w:rsid w:val="00FD75CA"/>
    <w:rsid w:val="00FD7E42"/>
    <w:rsid w:val="00FE05AB"/>
    <w:rsid w:val="00FE1A6D"/>
    <w:rsid w:val="00FE3D32"/>
    <w:rsid w:val="00FE4333"/>
    <w:rsid w:val="00FE5446"/>
    <w:rsid w:val="00FE6C01"/>
    <w:rsid w:val="00FE706B"/>
    <w:rsid w:val="00FE784D"/>
    <w:rsid w:val="00FE7C55"/>
    <w:rsid w:val="00FE7E15"/>
    <w:rsid w:val="00FE7F5C"/>
    <w:rsid w:val="00FE7F92"/>
    <w:rsid w:val="00FF0890"/>
    <w:rsid w:val="00FF107C"/>
    <w:rsid w:val="00FF180C"/>
    <w:rsid w:val="00FF1844"/>
    <w:rsid w:val="00FF2E91"/>
    <w:rsid w:val="00FF3566"/>
    <w:rsid w:val="00FF38F0"/>
    <w:rsid w:val="00FF3F3A"/>
    <w:rsid w:val="00FF68BD"/>
    <w:rsid w:val="00FF75DF"/>
    <w:rsid w:val="00FF7919"/>
    <w:rsid w:val="13EF5825"/>
    <w:rsid w:val="14D288CC"/>
    <w:rsid w:val="222B651D"/>
    <w:rsid w:val="301719E7"/>
    <w:rsid w:val="3440171C"/>
    <w:rsid w:val="34F8D86B"/>
    <w:rsid w:val="360FFC40"/>
    <w:rsid w:val="3DD68473"/>
    <w:rsid w:val="3E63CE52"/>
    <w:rsid w:val="45892BE8"/>
    <w:rsid w:val="464FC38D"/>
    <w:rsid w:val="4A770194"/>
    <w:rsid w:val="4AA58A5A"/>
    <w:rsid w:val="4FFAAA12"/>
    <w:rsid w:val="52F43A1F"/>
    <w:rsid w:val="55BA8829"/>
    <w:rsid w:val="5B190EBA"/>
    <w:rsid w:val="6295DF44"/>
    <w:rsid w:val="66B220A0"/>
    <w:rsid w:val="6817A9AC"/>
    <w:rsid w:val="69818CF3"/>
    <w:rsid w:val="6DB21216"/>
    <w:rsid w:val="6E29FAD4"/>
    <w:rsid w:val="75A55D5F"/>
    <w:rsid w:val="77E038A9"/>
    <w:rsid w:val="7E519A5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09F8F0B4"/>
  <w15:chartTrackingRefBased/>
  <w15:docId w15:val="{E9CFDB08-A9C4-4027-AC93-97CE216A4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39" w:qFormat="1"/>
    <w:lsdException w:name="toc 2" w:uiPriority="39" w:qFormat="1"/>
    <w:lsdException w:name="header" w:uiPriority="99"/>
    <w:lsdException w:name="caption" w:locked="1" w:semiHidden="1" w:unhideWhenUsed="1" w:qFormat="1"/>
    <w:lsdException w:name="Title" w:locked="1" w:qFormat="1"/>
    <w:lsdException w:name="Default Paragraph Font" w:uiPriority="1"/>
    <w:lsdException w:name="Subtitle" w:locked="1" w:qFormat="1"/>
    <w:lsdException w:name="Hyperlink" w:uiPriority="99"/>
    <w:lsdException w:name="Strong" w:locked="1" w:qFormat="1"/>
    <w:lsdException w:name="Emphasis" w:locked="1" w:qFormat="1"/>
    <w:lsdException w:name="Plain Text"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3E17"/>
    <w:pPr>
      <w:jc w:val="both"/>
    </w:pPr>
    <w:rPr>
      <w:rFonts w:ascii="Arial" w:hAnsi="Arial"/>
      <w:sz w:val="24"/>
      <w:lang w:val="es-ES_tradnl"/>
    </w:rPr>
  </w:style>
  <w:style w:type="paragraph" w:styleId="Ttulo1">
    <w:name w:val="heading 1"/>
    <w:basedOn w:val="Normal"/>
    <w:next w:val="Normal"/>
    <w:link w:val="Ttulo1Car"/>
    <w:qFormat/>
    <w:rsid w:val="00B666E8"/>
    <w:pPr>
      <w:keepNext/>
      <w:spacing w:before="240" w:after="60"/>
      <w:outlineLvl w:val="0"/>
    </w:pPr>
    <w:rPr>
      <w:b/>
      <w:kern w:val="28"/>
    </w:rPr>
  </w:style>
  <w:style w:type="paragraph" w:styleId="Ttulo2">
    <w:name w:val="heading 2"/>
    <w:basedOn w:val="Normal"/>
    <w:next w:val="Normal"/>
    <w:link w:val="Ttulo2Car"/>
    <w:qFormat/>
    <w:rsid w:val="00B666E8"/>
    <w:pPr>
      <w:keepNext/>
      <w:spacing w:before="240" w:after="60"/>
      <w:outlineLvl w:val="1"/>
    </w:pPr>
    <w:rPr>
      <w:b/>
    </w:rPr>
  </w:style>
  <w:style w:type="paragraph" w:styleId="Ttulo3">
    <w:name w:val="heading 3"/>
    <w:basedOn w:val="Normal"/>
    <w:next w:val="Normal"/>
    <w:qFormat/>
    <w:rsid w:val="00B666E8"/>
    <w:pPr>
      <w:keepNext/>
      <w:spacing w:before="240" w:after="60"/>
      <w:outlineLvl w:val="2"/>
    </w:pPr>
    <w:rPr>
      <w:b/>
    </w:rPr>
  </w:style>
  <w:style w:type="paragraph" w:styleId="Ttulo4">
    <w:name w:val="heading 4"/>
    <w:basedOn w:val="Normal"/>
    <w:next w:val="Normal"/>
    <w:qFormat/>
    <w:rsid w:val="00B666E8"/>
    <w:pPr>
      <w:keepNext/>
      <w:spacing w:before="240" w:after="60"/>
      <w:outlineLvl w:val="3"/>
    </w:pPr>
    <w:rPr>
      <w:rFonts w:ascii="Times New Roman" w:hAnsi="Times New Roman"/>
      <w:b/>
      <w:i/>
    </w:rPr>
  </w:style>
  <w:style w:type="paragraph" w:styleId="Ttulo5">
    <w:name w:val="heading 5"/>
    <w:basedOn w:val="Normal"/>
    <w:next w:val="Normal"/>
    <w:qFormat/>
    <w:rsid w:val="00B666E8"/>
    <w:pPr>
      <w:spacing w:before="240" w:after="60"/>
      <w:outlineLvl w:val="4"/>
    </w:pPr>
    <w:rPr>
      <w:sz w:val="22"/>
    </w:rPr>
  </w:style>
  <w:style w:type="paragraph" w:styleId="Ttulo6">
    <w:name w:val="heading 6"/>
    <w:basedOn w:val="Normal"/>
    <w:next w:val="Normal"/>
    <w:qFormat/>
    <w:rsid w:val="00B666E8"/>
    <w:pPr>
      <w:spacing w:before="240" w:after="60"/>
      <w:outlineLvl w:val="5"/>
    </w:pPr>
    <w:rPr>
      <w:i/>
      <w:sz w:val="22"/>
    </w:rPr>
  </w:style>
  <w:style w:type="paragraph" w:styleId="Ttulo7">
    <w:name w:val="heading 7"/>
    <w:basedOn w:val="Normal"/>
    <w:next w:val="Normal"/>
    <w:qFormat/>
    <w:rsid w:val="00B666E8"/>
    <w:pPr>
      <w:spacing w:before="240" w:after="60"/>
      <w:outlineLvl w:val="6"/>
    </w:pPr>
    <w:rPr>
      <w:sz w:val="20"/>
    </w:rPr>
  </w:style>
  <w:style w:type="paragraph" w:styleId="Ttulo8">
    <w:name w:val="heading 8"/>
    <w:basedOn w:val="Normal"/>
    <w:next w:val="Normal"/>
    <w:qFormat/>
    <w:rsid w:val="00B666E8"/>
    <w:pPr>
      <w:spacing w:before="240" w:after="60"/>
      <w:outlineLvl w:val="7"/>
    </w:pPr>
    <w:rPr>
      <w:i/>
      <w:sz w:val="20"/>
    </w:rPr>
  </w:style>
  <w:style w:type="paragraph" w:styleId="Ttulo9">
    <w:name w:val="heading 9"/>
    <w:basedOn w:val="Normal"/>
    <w:next w:val="Normal"/>
    <w:qFormat/>
    <w:rsid w:val="00B666E8"/>
    <w:pPr>
      <w:spacing w:before="240" w:after="60"/>
      <w:outlineLvl w:val="8"/>
    </w:pPr>
    <w:rPr>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B666E8"/>
    <w:pPr>
      <w:tabs>
        <w:tab w:val="center" w:pos="4252"/>
        <w:tab w:val="right" w:pos="8504"/>
      </w:tabs>
    </w:pPr>
  </w:style>
  <w:style w:type="paragraph" w:styleId="Piedepgina">
    <w:name w:val="footer"/>
    <w:basedOn w:val="Normal"/>
    <w:link w:val="PiedepginaCar"/>
    <w:rsid w:val="00B666E8"/>
    <w:pPr>
      <w:tabs>
        <w:tab w:val="center" w:pos="4252"/>
        <w:tab w:val="right" w:pos="8504"/>
      </w:tabs>
    </w:pPr>
  </w:style>
  <w:style w:type="character" w:styleId="Nmerodepgina">
    <w:name w:val="page number"/>
    <w:rsid w:val="00B666E8"/>
    <w:rPr>
      <w:rFonts w:cs="Times New Roman"/>
    </w:rPr>
  </w:style>
  <w:style w:type="character" w:styleId="Refdenotaalpie">
    <w:name w:val="footnote reference"/>
    <w:rsid w:val="00B666E8"/>
    <w:rPr>
      <w:rFonts w:cs="Times New Roman"/>
      <w:vertAlign w:val="superscript"/>
    </w:rPr>
  </w:style>
  <w:style w:type="paragraph" w:styleId="Textonotapie">
    <w:name w:val="footnote text"/>
    <w:basedOn w:val="Normal"/>
    <w:link w:val="TextonotapieCar"/>
    <w:rsid w:val="00B666E8"/>
    <w:pPr>
      <w:jc w:val="left"/>
    </w:pPr>
    <w:rPr>
      <w:rFonts w:ascii="Times New Roman" w:hAnsi="Times New Roman"/>
      <w:sz w:val="20"/>
    </w:rPr>
  </w:style>
  <w:style w:type="paragraph" w:customStyle="1" w:styleId="Estilgt">
    <w:name w:val="Estilgt"/>
    <w:basedOn w:val="Normal"/>
    <w:rsid w:val="00B666E8"/>
    <w:pPr>
      <w:widowControl w:val="0"/>
      <w:suppressLineNumbers/>
      <w:suppressAutoHyphens/>
    </w:pPr>
    <w:rPr>
      <w:b/>
      <w:caps/>
      <w:spacing w:val="20"/>
      <w:sz w:val="16"/>
    </w:rPr>
  </w:style>
  <w:style w:type="table" w:styleId="Tablaconcuadrcula">
    <w:name w:val="Table Grid"/>
    <w:basedOn w:val="Tablanormal"/>
    <w:rsid w:val="00B666E8"/>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B666E8"/>
    <w:rPr>
      <w:rFonts w:cs="Times New Roman"/>
      <w:sz w:val="16"/>
      <w:szCs w:val="16"/>
    </w:rPr>
  </w:style>
  <w:style w:type="paragraph" w:styleId="Textocomentario">
    <w:name w:val="annotation text"/>
    <w:basedOn w:val="Normal"/>
    <w:semiHidden/>
    <w:rsid w:val="00B666E8"/>
    <w:pPr>
      <w:jc w:val="left"/>
    </w:pPr>
    <w:rPr>
      <w:rFonts w:ascii="Times New Roman" w:hAnsi="Times New Roman"/>
      <w:sz w:val="20"/>
      <w:lang w:val="es-ES"/>
    </w:rPr>
  </w:style>
  <w:style w:type="paragraph" w:styleId="Asuntodelcomentario">
    <w:name w:val="annotation subject"/>
    <w:basedOn w:val="Textocomentario"/>
    <w:next w:val="Textocomentario"/>
    <w:semiHidden/>
    <w:rsid w:val="00B666E8"/>
    <w:rPr>
      <w:b/>
      <w:bCs/>
    </w:rPr>
  </w:style>
  <w:style w:type="paragraph" w:styleId="Textodeglobo">
    <w:name w:val="Balloon Text"/>
    <w:basedOn w:val="Normal"/>
    <w:semiHidden/>
    <w:rsid w:val="00B666E8"/>
    <w:pPr>
      <w:jc w:val="left"/>
    </w:pPr>
    <w:rPr>
      <w:rFonts w:ascii="Tahoma" w:hAnsi="Tahoma" w:cs="Tahoma"/>
      <w:sz w:val="16"/>
      <w:szCs w:val="16"/>
      <w:lang w:val="es-ES"/>
    </w:rPr>
  </w:style>
  <w:style w:type="paragraph" w:styleId="TDC1">
    <w:name w:val="toc 1"/>
    <w:basedOn w:val="Textoindependiente"/>
    <w:next w:val="Textoindependiente"/>
    <w:autoRedefine/>
    <w:uiPriority w:val="39"/>
    <w:qFormat/>
    <w:rsid w:val="00D43B1B"/>
    <w:pPr>
      <w:tabs>
        <w:tab w:val="right" w:leader="dot" w:pos="8828"/>
      </w:tabs>
      <w:spacing w:before="120" w:after="120"/>
    </w:pPr>
    <w:rPr>
      <w:rFonts w:ascii="Arial" w:hAnsi="Arial" w:cs="Arial"/>
      <w:b/>
      <w:bCs/>
      <w:caps/>
      <w:sz w:val="16"/>
      <w:szCs w:val="24"/>
    </w:rPr>
  </w:style>
  <w:style w:type="character" w:styleId="Hipervnculo">
    <w:name w:val="Hyperlink"/>
    <w:uiPriority w:val="99"/>
    <w:rsid w:val="00B666E8"/>
    <w:rPr>
      <w:rFonts w:cs="Times New Roman"/>
      <w:color w:val="0000FF"/>
      <w:u w:val="single"/>
    </w:rPr>
  </w:style>
  <w:style w:type="paragraph" w:styleId="TDC5">
    <w:name w:val="toc 5"/>
    <w:basedOn w:val="Normal"/>
    <w:next w:val="Normal"/>
    <w:autoRedefine/>
    <w:semiHidden/>
    <w:rsid w:val="00B666E8"/>
    <w:pPr>
      <w:ind w:left="600"/>
      <w:jc w:val="left"/>
    </w:pPr>
    <w:rPr>
      <w:rFonts w:ascii="Times New Roman" w:hAnsi="Times New Roman"/>
      <w:sz w:val="20"/>
      <w:lang w:val="es-ES"/>
    </w:rPr>
  </w:style>
  <w:style w:type="paragraph" w:styleId="TDC8">
    <w:name w:val="toc 8"/>
    <w:basedOn w:val="Normal"/>
    <w:next w:val="Normal"/>
    <w:autoRedefine/>
    <w:semiHidden/>
    <w:rsid w:val="00B666E8"/>
    <w:pPr>
      <w:ind w:left="1200"/>
      <w:jc w:val="left"/>
    </w:pPr>
    <w:rPr>
      <w:rFonts w:ascii="Times New Roman" w:hAnsi="Times New Roman"/>
      <w:sz w:val="20"/>
      <w:lang w:val="es-ES"/>
    </w:rPr>
  </w:style>
  <w:style w:type="paragraph" w:styleId="Mapadeldocumento">
    <w:name w:val="Document Map"/>
    <w:basedOn w:val="Normal"/>
    <w:semiHidden/>
    <w:rsid w:val="00B666E8"/>
    <w:pPr>
      <w:shd w:val="clear" w:color="auto" w:fill="000080"/>
    </w:pPr>
    <w:rPr>
      <w:rFonts w:ascii="Tahoma" w:hAnsi="Tahoma" w:cs="Tahoma"/>
      <w:sz w:val="20"/>
    </w:rPr>
  </w:style>
  <w:style w:type="paragraph" w:customStyle="1" w:styleId="Listavistosa-nfasis11">
    <w:name w:val="Lista vistosa - Énfasis 11"/>
    <w:basedOn w:val="Normal"/>
    <w:uiPriority w:val="34"/>
    <w:qFormat/>
    <w:rsid w:val="00B666E8"/>
    <w:pPr>
      <w:ind w:left="708"/>
      <w:jc w:val="left"/>
    </w:pPr>
    <w:rPr>
      <w:rFonts w:ascii="Times New Roman" w:hAnsi="Times New Roman"/>
      <w:szCs w:val="24"/>
      <w:lang w:val="es-CO" w:eastAsia="es-ES"/>
    </w:rPr>
  </w:style>
  <w:style w:type="paragraph" w:styleId="Textoindependiente">
    <w:name w:val="Body Text"/>
    <w:basedOn w:val="Normal"/>
    <w:rsid w:val="00B666E8"/>
    <w:rPr>
      <w:rFonts w:ascii="Times New Roman" w:hAnsi="Times New Roman"/>
      <w:sz w:val="28"/>
      <w:szCs w:val="28"/>
      <w:lang w:val="es-ES" w:eastAsia="es-ES"/>
    </w:rPr>
  </w:style>
  <w:style w:type="paragraph" w:customStyle="1" w:styleId="BodyText22">
    <w:name w:val="Body Text 22"/>
    <w:basedOn w:val="Normal"/>
    <w:rsid w:val="00FE6C01"/>
    <w:rPr>
      <w:spacing w:val="20"/>
      <w:sz w:val="16"/>
    </w:rPr>
  </w:style>
  <w:style w:type="paragraph" w:customStyle="1" w:styleId="Point2">
    <w:name w:val="Point 2"/>
    <w:basedOn w:val="Normal"/>
    <w:rsid w:val="009F10B8"/>
    <w:pPr>
      <w:spacing w:before="120" w:after="120" w:line="360" w:lineRule="auto"/>
      <w:ind w:left="1984" w:hanging="567"/>
      <w:jc w:val="left"/>
    </w:pPr>
    <w:rPr>
      <w:rFonts w:ascii="Times New Roman" w:hAnsi="Times New Roman"/>
      <w:lang w:val="es-ES" w:eastAsia="zh-CN"/>
    </w:rPr>
  </w:style>
  <w:style w:type="character" w:customStyle="1" w:styleId="estilo2">
    <w:name w:val="estilo2"/>
    <w:basedOn w:val="Fuentedeprrafopredeter"/>
    <w:rsid w:val="00D471BF"/>
  </w:style>
  <w:style w:type="character" w:styleId="Textoennegrita">
    <w:name w:val="Strong"/>
    <w:qFormat/>
    <w:locked/>
    <w:rsid w:val="00D471BF"/>
    <w:rPr>
      <w:b/>
      <w:bCs/>
    </w:rPr>
  </w:style>
  <w:style w:type="character" w:customStyle="1" w:styleId="Ttulo1Car">
    <w:name w:val="Título 1 Car"/>
    <w:link w:val="Ttulo1"/>
    <w:rsid w:val="00A66770"/>
    <w:rPr>
      <w:rFonts w:ascii="Arial" w:hAnsi="Arial"/>
      <w:b/>
      <w:kern w:val="28"/>
      <w:sz w:val="24"/>
      <w:lang w:val="es-ES_tradnl"/>
    </w:rPr>
  </w:style>
  <w:style w:type="character" w:customStyle="1" w:styleId="Ttulo2Car">
    <w:name w:val="Título 2 Car"/>
    <w:link w:val="Ttulo2"/>
    <w:rsid w:val="00A66770"/>
    <w:rPr>
      <w:rFonts w:ascii="Arial" w:hAnsi="Arial"/>
      <w:b/>
      <w:sz w:val="24"/>
      <w:lang w:val="es-ES_tradnl"/>
    </w:rPr>
  </w:style>
  <w:style w:type="character" w:customStyle="1" w:styleId="TextonotapieCar">
    <w:name w:val="Texto nota pie Car"/>
    <w:link w:val="Textonotapie"/>
    <w:rsid w:val="00E61A0F"/>
    <w:rPr>
      <w:lang w:val="es-ES_tradnl"/>
    </w:rPr>
  </w:style>
  <w:style w:type="character" w:customStyle="1" w:styleId="PiedepginaCar">
    <w:name w:val="Pie de página Car"/>
    <w:link w:val="Piedepgina"/>
    <w:rsid w:val="0004008E"/>
    <w:rPr>
      <w:rFonts w:ascii="Arial" w:hAnsi="Arial"/>
      <w:sz w:val="24"/>
      <w:lang w:val="es-ES_tradnl"/>
    </w:rPr>
  </w:style>
  <w:style w:type="paragraph" w:styleId="TDC2">
    <w:name w:val="toc 2"/>
    <w:next w:val="Textoindependiente"/>
    <w:autoRedefine/>
    <w:uiPriority w:val="39"/>
    <w:qFormat/>
    <w:rsid w:val="00275DD2"/>
    <w:pPr>
      <w:tabs>
        <w:tab w:val="right" w:leader="dot" w:pos="8830"/>
      </w:tabs>
      <w:ind w:left="244"/>
      <w:jc w:val="both"/>
    </w:pPr>
    <w:rPr>
      <w:rFonts w:ascii="Arial" w:hAnsi="Arial"/>
      <w:sz w:val="16"/>
      <w:lang w:val="es-ES_tradnl"/>
    </w:rPr>
  </w:style>
  <w:style w:type="paragraph" w:customStyle="1" w:styleId="TtuloTDC1">
    <w:name w:val="Título TDC1"/>
    <w:basedOn w:val="Ttulo1"/>
    <w:next w:val="Normal"/>
    <w:uiPriority w:val="39"/>
    <w:semiHidden/>
    <w:unhideWhenUsed/>
    <w:qFormat/>
    <w:rsid w:val="00DA0B8D"/>
    <w:pPr>
      <w:keepLines/>
      <w:spacing w:before="480" w:after="0" w:line="276" w:lineRule="auto"/>
      <w:jc w:val="left"/>
      <w:outlineLvl w:val="9"/>
    </w:pPr>
    <w:rPr>
      <w:rFonts w:ascii="Cambria" w:hAnsi="Cambria"/>
      <w:bCs/>
      <w:color w:val="365F91"/>
      <w:kern w:val="0"/>
      <w:sz w:val="28"/>
      <w:szCs w:val="28"/>
      <w:lang w:val="es-CO"/>
    </w:rPr>
  </w:style>
  <w:style w:type="paragraph" w:styleId="Revisin">
    <w:name w:val="Revision"/>
    <w:hidden/>
    <w:uiPriority w:val="99"/>
    <w:semiHidden/>
    <w:rsid w:val="00E025FB"/>
    <w:rPr>
      <w:rFonts w:ascii="Arial" w:hAnsi="Arial"/>
      <w:sz w:val="24"/>
      <w:lang w:val="es-ES_tradnl"/>
    </w:rPr>
  </w:style>
  <w:style w:type="paragraph" w:customStyle="1" w:styleId="Cuadrculamedia21">
    <w:name w:val="Cuadrícula media 21"/>
    <w:uiPriority w:val="1"/>
    <w:qFormat/>
    <w:rsid w:val="00BB5685"/>
    <w:pPr>
      <w:jc w:val="both"/>
    </w:pPr>
    <w:rPr>
      <w:rFonts w:ascii="Arial" w:hAnsi="Arial"/>
      <w:sz w:val="24"/>
      <w:lang w:val="es-ES_tradnl"/>
    </w:rPr>
  </w:style>
  <w:style w:type="paragraph" w:styleId="Textosinformato">
    <w:name w:val="Plain Text"/>
    <w:basedOn w:val="Normal"/>
    <w:link w:val="TextosinformatoCar"/>
    <w:uiPriority w:val="99"/>
    <w:unhideWhenUsed/>
    <w:rsid w:val="003D02F5"/>
    <w:pPr>
      <w:jc w:val="left"/>
    </w:pPr>
    <w:rPr>
      <w:rFonts w:ascii="Calibri" w:eastAsia="Calibri" w:hAnsi="Calibri"/>
      <w:sz w:val="22"/>
      <w:szCs w:val="21"/>
      <w:lang w:val="es-CO" w:eastAsia="en-US"/>
    </w:rPr>
  </w:style>
  <w:style w:type="character" w:customStyle="1" w:styleId="TextosinformatoCar">
    <w:name w:val="Texto sin formato Car"/>
    <w:link w:val="Textosinformato"/>
    <w:uiPriority w:val="99"/>
    <w:rsid w:val="003D02F5"/>
    <w:rPr>
      <w:rFonts w:ascii="Calibri" w:eastAsia="Calibri" w:hAnsi="Calibri"/>
      <w:sz w:val="22"/>
      <w:szCs w:val="21"/>
      <w:lang w:eastAsia="en-US"/>
    </w:rPr>
  </w:style>
  <w:style w:type="paragraph" w:customStyle="1" w:styleId="TOCHeading1">
    <w:name w:val="TOC Heading1"/>
    <w:basedOn w:val="Ttulo1"/>
    <w:next w:val="Normal"/>
    <w:uiPriority w:val="39"/>
    <w:semiHidden/>
    <w:unhideWhenUsed/>
    <w:qFormat/>
    <w:rsid w:val="009F30D1"/>
    <w:pPr>
      <w:keepLines/>
      <w:spacing w:before="480" w:after="0" w:line="276" w:lineRule="auto"/>
      <w:jc w:val="left"/>
      <w:outlineLvl w:val="9"/>
    </w:pPr>
    <w:rPr>
      <w:rFonts w:ascii="Cambria" w:hAnsi="Cambria"/>
      <w:bCs/>
      <w:color w:val="365F91"/>
      <w:kern w:val="0"/>
      <w:sz w:val="28"/>
      <w:szCs w:val="28"/>
      <w:lang w:val="es-CO"/>
    </w:rPr>
  </w:style>
  <w:style w:type="paragraph" w:customStyle="1" w:styleId="Normal9pt">
    <w:name w:val="Normal + 9 pt"/>
    <w:aliases w:val="Sin Expandido / Comprimido"/>
    <w:basedOn w:val="Textoindependiente"/>
    <w:rsid w:val="009F30D1"/>
    <w:pPr>
      <w:numPr>
        <w:numId w:val="34"/>
      </w:numPr>
    </w:pPr>
    <w:rPr>
      <w:rFonts w:ascii="Arial" w:hAnsi="Arial" w:cs="Arial"/>
      <w:i/>
      <w:sz w:val="18"/>
      <w:szCs w:val="18"/>
      <w:lang w:val="es-MX" w:eastAsia="es-CO"/>
    </w:rPr>
  </w:style>
  <w:style w:type="character" w:styleId="Textodelmarcadordeposicin">
    <w:name w:val="Placeholder Text"/>
    <w:basedOn w:val="Fuentedeprrafopredeter"/>
    <w:uiPriority w:val="99"/>
    <w:semiHidden/>
    <w:rsid w:val="004A0A8A"/>
    <w:rPr>
      <w:color w:val="808080"/>
    </w:rPr>
  </w:style>
  <w:style w:type="paragraph" w:styleId="Prrafodelista">
    <w:name w:val="List Paragraph"/>
    <w:basedOn w:val="Normal"/>
    <w:uiPriority w:val="34"/>
    <w:qFormat/>
    <w:rsid w:val="000D4CE9"/>
    <w:pPr>
      <w:ind w:left="720"/>
      <w:contextualSpacing/>
    </w:pPr>
  </w:style>
  <w:style w:type="character" w:customStyle="1" w:styleId="EncabezadoCar">
    <w:name w:val="Encabezado Car"/>
    <w:basedOn w:val="Fuentedeprrafopredeter"/>
    <w:link w:val="Encabezado"/>
    <w:uiPriority w:val="99"/>
    <w:rsid w:val="003A6D3C"/>
    <w:rPr>
      <w:rFonts w:ascii="Arial" w:hAnsi="Arial"/>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2977530">
      <w:bodyDiv w:val="1"/>
      <w:marLeft w:val="0"/>
      <w:marRight w:val="0"/>
      <w:marTop w:val="0"/>
      <w:marBottom w:val="0"/>
      <w:divBdr>
        <w:top w:val="none" w:sz="0" w:space="0" w:color="auto"/>
        <w:left w:val="none" w:sz="0" w:space="0" w:color="auto"/>
        <w:bottom w:val="none" w:sz="0" w:space="0" w:color="auto"/>
        <w:right w:val="none" w:sz="0" w:space="0" w:color="auto"/>
      </w:divBdr>
    </w:div>
    <w:div w:id="150290119">
      <w:bodyDiv w:val="1"/>
      <w:marLeft w:val="0"/>
      <w:marRight w:val="0"/>
      <w:marTop w:val="0"/>
      <w:marBottom w:val="0"/>
      <w:divBdr>
        <w:top w:val="none" w:sz="0" w:space="0" w:color="auto"/>
        <w:left w:val="none" w:sz="0" w:space="0" w:color="auto"/>
        <w:bottom w:val="none" w:sz="0" w:space="0" w:color="auto"/>
        <w:right w:val="none" w:sz="0" w:space="0" w:color="auto"/>
      </w:divBdr>
    </w:div>
    <w:div w:id="369115980">
      <w:bodyDiv w:val="1"/>
      <w:marLeft w:val="0"/>
      <w:marRight w:val="0"/>
      <w:marTop w:val="0"/>
      <w:marBottom w:val="0"/>
      <w:divBdr>
        <w:top w:val="none" w:sz="0" w:space="0" w:color="auto"/>
        <w:left w:val="none" w:sz="0" w:space="0" w:color="auto"/>
        <w:bottom w:val="none" w:sz="0" w:space="0" w:color="auto"/>
        <w:right w:val="none" w:sz="0" w:space="0" w:color="auto"/>
      </w:divBdr>
    </w:div>
    <w:div w:id="372654854">
      <w:bodyDiv w:val="1"/>
      <w:marLeft w:val="0"/>
      <w:marRight w:val="0"/>
      <w:marTop w:val="0"/>
      <w:marBottom w:val="0"/>
      <w:divBdr>
        <w:top w:val="none" w:sz="0" w:space="0" w:color="auto"/>
        <w:left w:val="none" w:sz="0" w:space="0" w:color="auto"/>
        <w:bottom w:val="none" w:sz="0" w:space="0" w:color="auto"/>
        <w:right w:val="none" w:sz="0" w:space="0" w:color="auto"/>
      </w:divBdr>
    </w:div>
    <w:div w:id="544682346">
      <w:bodyDiv w:val="1"/>
      <w:marLeft w:val="0"/>
      <w:marRight w:val="0"/>
      <w:marTop w:val="0"/>
      <w:marBottom w:val="0"/>
      <w:divBdr>
        <w:top w:val="none" w:sz="0" w:space="0" w:color="auto"/>
        <w:left w:val="none" w:sz="0" w:space="0" w:color="auto"/>
        <w:bottom w:val="none" w:sz="0" w:space="0" w:color="auto"/>
        <w:right w:val="none" w:sz="0" w:space="0" w:color="auto"/>
      </w:divBdr>
    </w:div>
    <w:div w:id="565191980">
      <w:bodyDiv w:val="1"/>
      <w:marLeft w:val="0"/>
      <w:marRight w:val="0"/>
      <w:marTop w:val="0"/>
      <w:marBottom w:val="0"/>
      <w:divBdr>
        <w:top w:val="none" w:sz="0" w:space="0" w:color="auto"/>
        <w:left w:val="none" w:sz="0" w:space="0" w:color="auto"/>
        <w:bottom w:val="none" w:sz="0" w:space="0" w:color="auto"/>
        <w:right w:val="none" w:sz="0" w:space="0" w:color="auto"/>
      </w:divBdr>
    </w:div>
    <w:div w:id="602804085">
      <w:bodyDiv w:val="1"/>
      <w:marLeft w:val="0"/>
      <w:marRight w:val="0"/>
      <w:marTop w:val="0"/>
      <w:marBottom w:val="0"/>
      <w:divBdr>
        <w:top w:val="none" w:sz="0" w:space="0" w:color="auto"/>
        <w:left w:val="none" w:sz="0" w:space="0" w:color="auto"/>
        <w:bottom w:val="none" w:sz="0" w:space="0" w:color="auto"/>
        <w:right w:val="none" w:sz="0" w:space="0" w:color="auto"/>
      </w:divBdr>
    </w:div>
    <w:div w:id="661933809">
      <w:bodyDiv w:val="1"/>
      <w:marLeft w:val="0"/>
      <w:marRight w:val="0"/>
      <w:marTop w:val="0"/>
      <w:marBottom w:val="0"/>
      <w:divBdr>
        <w:top w:val="none" w:sz="0" w:space="0" w:color="auto"/>
        <w:left w:val="none" w:sz="0" w:space="0" w:color="auto"/>
        <w:bottom w:val="none" w:sz="0" w:space="0" w:color="auto"/>
        <w:right w:val="none" w:sz="0" w:space="0" w:color="auto"/>
      </w:divBdr>
    </w:div>
    <w:div w:id="722220107">
      <w:bodyDiv w:val="1"/>
      <w:marLeft w:val="0"/>
      <w:marRight w:val="0"/>
      <w:marTop w:val="0"/>
      <w:marBottom w:val="0"/>
      <w:divBdr>
        <w:top w:val="none" w:sz="0" w:space="0" w:color="auto"/>
        <w:left w:val="none" w:sz="0" w:space="0" w:color="auto"/>
        <w:bottom w:val="none" w:sz="0" w:space="0" w:color="auto"/>
        <w:right w:val="none" w:sz="0" w:space="0" w:color="auto"/>
      </w:divBdr>
    </w:div>
    <w:div w:id="853542555">
      <w:bodyDiv w:val="1"/>
      <w:marLeft w:val="0"/>
      <w:marRight w:val="0"/>
      <w:marTop w:val="0"/>
      <w:marBottom w:val="0"/>
      <w:divBdr>
        <w:top w:val="none" w:sz="0" w:space="0" w:color="auto"/>
        <w:left w:val="none" w:sz="0" w:space="0" w:color="auto"/>
        <w:bottom w:val="none" w:sz="0" w:space="0" w:color="auto"/>
        <w:right w:val="none" w:sz="0" w:space="0" w:color="auto"/>
      </w:divBdr>
      <w:divsChild>
        <w:div w:id="398552934">
          <w:marLeft w:val="0"/>
          <w:marRight w:val="0"/>
          <w:marTop w:val="0"/>
          <w:marBottom w:val="0"/>
          <w:divBdr>
            <w:top w:val="none" w:sz="0" w:space="0" w:color="auto"/>
            <w:left w:val="none" w:sz="0" w:space="0" w:color="auto"/>
            <w:bottom w:val="none" w:sz="0" w:space="0" w:color="auto"/>
            <w:right w:val="none" w:sz="0" w:space="0" w:color="auto"/>
          </w:divBdr>
        </w:div>
      </w:divsChild>
    </w:div>
    <w:div w:id="940376640">
      <w:bodyDiv w:val="1"/>
      <w:marLeft w:val="0"/>
      <w:marRight w:val="0"/>
      <w:marTop w:val="0"/>
      <w:marBottom w:val="0"/>
      <w:divBdr>
        <w:top w:val="none" w:sz="0" w:space="0" w:color="auto"/>
        <w:left w:val="none" w:sz="0" w:space="0" w:color="auto"/>
        <w:bottom w:val="none" w:sz="0" w:space="0" w:color="auto"/>
        <w:right w:val="none" w:sz="0" w:space="0" w:color="auto"/>
      </w:divBdr>
    </w:div>
    <w:div w:id="962614645">
      <w:bodyDiv w:val="1"/>
      <w:marLeft w:val="0"/>
      <w:marRight w:val="0"/>
      <w:marTop w:val="0"/>
      <w:marBottom w:val="0"/>
      <w:divBdr>
        <w:top w:val="none" w:sz="0" w:space="0" w:color="auto"/>
        <w:left w:val="none" w:sz="0" w:space="0" w:color="auto"/>
        <w:bottom w:val="none" w:sz="0" w:space="0" w:color="auto"/>
        <w:right w:val="none" w:sz="0" w:space="0" w:color="auto"/>
      </w:divBdr>
    </w:div>
    <w:div w:id="1119297740">
      <w:bodyDiv w:val="1"/>
      <w:marLeft w:val="0"/>
      <w:marRight w:val="0"/>
      <w:marTop w:val="0"/>
      <w:marBottom w:val="0"/>
      <w:divBdr>
        <w:top w:val="none" w:sz="0" w:space="0" w:color="auto"/>
        <w:left w:val="none" w:sz="0" w:space="0" w:color="auto"/>
        <w:bottom w:val="none" w:sz="0" w:space="0" w:color="auto"/>
        <w:right w:val="none" w:sz="0" w:space="0" w:color="auto"/>
      </w:divBdr>
    </w:div>
    <w:div w:id="1170101196">
      <w:bodyDiv w:val="1"/>
      <w:marLeft w:val="0"/>
      <w:marRight w:val="0"/>
      <w:marTop w:val="0"/>
      <w:marBottom w:val="0"/>
      <w:divBdr>
        <w:top w:val="none" w:sz="0" w:space="0" w:color="auto"/>
        <w:left w:val="none" w:sz="0" w:space="0" w:color="auto"/>
        <w:bottom w:val="none" w:sz="0" w:space="0" w:color="auto"/>
        <w:right w:val="none" w:sz="0" w:space="0" w:color="auto"/>
      </w:divBdr>
    </w:div>
    <w:div w:id="1300725581">
      <w:bodyDiv w:val="1"/>
      <w:marLeft w:val="0"/>
      <w:marRight w:val="0"/>
      <w:marTop w:val="0"/>
      <w:marBottom w:val="0"/>
      <w:divBdr>
        <w:top w:val="none" w:sz="0" w:space="0" w:color="auto"/>
        <w:left w:val="none" w:sz="0" w:space="0" w:color="auto"/>
        <w:bottom w:val="none" w:sz="0" w:space="0" w:color="auto"/>
        <w:right w:val="none" w:sz="0" w:space="0" w:color="auto"/>
      </w:divBdr>
    </w:div>
    <w:div w:id="1307397605">
      <w:bodyDiv w:val="1"/>
      <w:marLeft w:val="0"/>
      <w:marRight w:val="0"/>
      <w:marTop w:val="0"/>
      <w:marBottom w:val="0"/>
      <w:divBdr>
        <w:top w:val="none" w:sz="0" w:space="0" w:color="auto"/>
        <w:left w:val="none" w:sz="0" w:space="0" w:color="auto"/>
        <w:bottom w:val="none" w:sz="0" w:space="0" w:color="auto"/>
        <w:right w:val="none" w:sz="0" w:space="0" w:color="auto"/>
      </w:divBdr>
    </w:div>
    <w:div w:id="1496457144">
      <w:bodyDiv w:val="1"/>
      <w:marLeft w:val="0"/>
      <w:marRight w:val="0"/>
      <w:marTop w:val="0"/>
      <w:marBottom w:val="0"/>
      <w:divBdr>
        <w:top w:val="none" w:sz="0" w:space="0" w:color="auto"/>
        <w:left w:val="none" w:sz="0" w:space="0" w:color="auto"/>
        <w:bottom w:val="none" w:sz="0" w:space="0" w:color="auto"/>
        <w:right w:val="none" w:sz="0" w:space="0" w:color="auto"/>
      </w:divBdr>
    </w:div>
    <w:div w:id="1509909766">
      <w:bodyDiv w:val="1"/>
      <w:marLeft w:val="0"/>
      <w:marRight w:val="0"/>
      <w:marTop w:val="0"/>
      <w:marBottom w:val="0"/>
      <w:divBdr>
        <w:top w:val="none" w:sz="0" w:space="0" w:color="auto"/>
        <w:left w:val="none" w:sz="0" w:space="0" w:color="auto"/>
        <w:bottom w:val="none" w:sz="0" w:space="0" w:color="auto"/>
        <w:right w:val="none" w:sz="0" w:space="0" w:color="auto"/>
      </w:divBdr>
    </w:div>
    <w:div w:id="1693341627">
      <w:bodyDiv w:val="1"/>
      <w:marLeft w:val="0"/>
      <w:marRight w:val="0"/>
      <w:marTop w:val="0"/>
      <w:marBottom w:val="0"/>
      <w:divBdr>
        <w:top w:val="none" w:sz="0" w:space="0" w:color="auto"/>
        <w:left w:val="none" w:sz="0" w:space="0" w:color="auto"/>
        <w:bottom w:val="none" w:sz="0" w:space="0" w:color="auto"/>
        <w:right w:val="none" w:sz="0" w:space="0" w:color="auto"/>
      </w:divBdr>
    </w:div>
    <w:div w:id="1771387318">
      <w:bodyDiv w:val="1"/>
      <w:marLeft w:val="0"/>
      <w:marRight w:val="0"/>
      <w:marTop w:val="0"/>
      <w:marBottom w:val="0"/>
      <w:divBdr>
        <w:top w:val="none" w:sz="0" w:space="0" w:color="auto"/>
        <w:left w:val="none" w:sz="0" w:space="0" w:color="auto"/>
        <w:bottom w:val="none" w:sz="0" w:space="0" w:color="auto"/>
        <w:right w:val="none" w:sz="0" w:space="0" w:color="auto"/>
      </w:divBdr>
    </w:div>
    <w:div w:id="1836069440">
      <w:bodyDiv w:val="1"/>
      <w:marLeft w:val="0"/>
      <w:marRight w:val="0"/>
      <w:marTop w:val="0"/>
      <w:marBottom w:val="0"/>
      <w:divBdr>
        <w:top w:val="none" w:sz="0" w:space="0" w:color="auto"/>
        <w:left w:val="none" w:sz="0" w:space="0" w:color="auto"/>
        <w:bottom w:val="none" w:sz="0" w:space="0" w:color="auto"/>
        <w:right w:val="none" w:sz="0" w:space="0" w:color="auto"/>
      </w:divBdr>
    </w:div>
    <w:div w:id="2005236551">
      <w:bodyDiv w:val="1"/>
      <w:marLeft w:val="0"/>
      <w:marRight w:val="0"/>
      <w:marTop w:val="0"/>
      <w:marBottom w:val="0"/>
      <w:divBdr>
        <w:top w:val="none" w:sz="0" w:space="0" w:color="auto"/>
        <w:left w:val="none" w:sz="0" w:space="0" w:color="auto"/>
        <w:bottom w:val="none" w:sz="0" w:space="0" w:color="auto"/>
        <w:right w:val="none" w:sz="0" w:space="0" w:color="auto"/>
      </w:divBdr>
    </w:div>
    <w:div w:id="2063484954">
      <w:bodyDiv w:val="1"/>
      <w:marLeft w:val="0"/>
      <w:marRight w:val="0"/>
      <w:marTop w:val="0"/>
      <w:marBottom w:val="0"/>
      <w:divBdr>
        <w:top w:val="none" w:sz="0" w:space="0" w:color="auto"/>
        <w:left w:val="none" w:sz="0" w:space="0" w:color="auto"/>
        <w:bottom w:val="none" w:sz="0" w:space="0" w:color="auto"/>
        <w:right w:val="none" w:sz="0" w:space="0" w:color="auto"/>
      </w:divBdr>
    </w:div>
    <w:div w:id="2134784267">
      <w:bodyDiv w:val="1"/>
      <w:marLeft w:val="0"/>
      <w:marRight w:val="0"/>
      <w:marTop w:val="0"/>
      <w:marBottom w:val="0"/>
      <w:divBdr>
        <w:top w:val="none" w:sz="0" w:space="0" w:color="auto"/>
        <w:left w:val="none" w:sz="0" w:space="0" w:color="auto"/>
        <w:bottom w:val="none" w:sz="0" w:space="0" w:color="auto"/>
        <w:right w:val="none" w:sz="0" w:space="0" w:color="auto"/>
      </w:divBdr>
      <w:divsChild>
        <w:div w:id="1638875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18" Type="http://schemas.openxmlformats.org/officeDocument/2006/relationships/oleObject" Target="embeddings/oleObject3.bin"/><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header" Target="header6.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5A3B2B5BF4D9346AE52374D4516EFA7" ma:contentTypeVersion="2" ma:contentTypeDescription="Create a new document." ma:contentTypeScope="" ma:versionID="8bdaf3981226a98b7c5a17fef5b1631b">
  <xsd:schema xmlns:xsd="http://www.w3.org/2001/XMLSchema" xmlns:xs="http://www.w3.org/2001/XMLSchema" xmlns:p="http://schemas.microsoft.com/office/2006/metadata/properties" xmlns:ns2="d95b0970-5acb-4d2d-9ce8-52a336339375" targetNamespace="http://schemas.microsoft.com/office/2006/metadata/properties" ma:root="true" ma:fieldsID="ddf581e4eed833ad21a415278c625384" ns2:_="">
    <xsd:import namespace="d95b0970-5acb-4d2d-9ce8-52a3363393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5b0970-5acb-4d2d-9ce8-52a3363393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A6C7E3-5B4B-4A58-BC9F-8C8129EBEBA4}">
  <ds:schemaRefs>
    <ds:schemaRef ds:uri="http://schemas.openxmlformats.org/officeDocument/2006/bibliography"/>
  </ds:schemaRefs>
</ds:datastoreItem>
</file>

<file path=customXml/itemProps2.xml><?xml version="1.0" encoding="utf-8"?>
<ds:datastoreItem xmlns:ds="http://schemas.openxmlformats.org/officeDocument/2006/customXml" ds:itemID="{2E3D2713-49AA-4C6D-9A10-63BD426DA562}">
  <ds:schemaRefs>
    <ds:schemaRef ds:uri="http://schemas.microsoft.com/sharepoint/v3/contenttype/forms"/>
  </ds:schemaRefs>
</ds:datastoreItem>
</file>

<file path=customXml/itemProps3.xml><?xml version="1.0" encoding="utf-8"?>
<ds:datastoreItem xmlns:ds="http://schemas.openxmlformats.org/officeDocument/2006/customXml" ds:itemID="{AAD2E09C-6402-4E88-92AC-081E401510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5b0970-5acb-4d2d-9ce8-52a3363393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161482-15FA-4F68-8830-20DD8F2ADAD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95b0970-5acb-4d2d-9ce8-52a33633937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4621</Words>
  <Characters>25503</Characters>
  <Application>Microsoft Office Word</Application>
  <DocSecurity>0</DocSecurity>
  <Lines>212</Lines>
  <Paragraphs>60</Paragraphs>
  <ScaleCrop>false</ScaleCrop>
  <Company>SUPERINTENDENCIA  BANCARIA</Company>
  <LinksUpToDate>false</LinksUpToDate>
  <CharactersWithSpaces>30064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CIRCULAR BASICA CONTABLE Y FINANCIERA.</dc:title>
  <dc:subject/>
  <dc:creator>Juan Pablo  Coy</dc:creator>
  <cp:keywords/>
  <cp:lastModifiedBy>Sebastian Duran Mendez</cp:lastModifiedBy>
  <cp:revision>16</cp:revision>
  <cp:lastPrinted>2015-11-10T18:19:00Z</cp:lastPrinted>
  <dcterms:created xsi:type="dcterms:W3CDTF">2023-03-15T22:52:00Z</dcterms:created>
  <dcterms:modified xsi:type="dcterms:W3CDTF">2023-03-15T23:32:00Z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0x01010005A3B2B5BF4D9346AE52374D4516EFA7</vt:lpwstr>
  </property>
</Properties>
</file>